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C89" w:rsidRDefault="000B7C89" w:rsidP="002D12EC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1F2343" w:rsidRDefault="001F2343" w:rsidP="002D12EC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33398E" w:rsidRDefault="00E7787E" w:rsidP="002D12EC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9C7656">
        <w:rPr>
          <w:rFonts w:ascii="Palatino Linotype" w:hAnsi="Palatino Linotype"/>
          <w:b/>
          <w:sz w:val="26"/>
          <w:szCs w:val="26"/>
        </w:rPr>
        <w:t>NOTĂ DE FUNDAMENTARE</w:t>
      </w:r>
    </w:p>
    <w:p w:rsidR="006C0F72" w:rsidRDefault="006C0F72" w:rsidP="002D12EC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1F2343" w:rsidRDefault="001F2343" w:rsidP="002D12EC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186C10" w:rsidRPr="00186C10" w:rsidRDefault="00322E3E" w:rsidP="0050364D">
      <w:pPr>
        <w:spacing w:after="0"/>
        <w:ind w:firstLine="706"/>
        <w:jc w:val="both"/>
        <w:rPr>
          <w:rFonts w:ascii="Palatino Linotype" w:hAnsi="Palatino Linotype" w:cs="Times New Roman"/>
          <w:sz w:val="24"/>
          <w:szCs w:val="24"/>
        </w:rPr>
      </w:pPr>
      <w:r w:rsidRPr="009C7656">
        <w:rPr>
          <w:rFonts w:ascii="Palatino Linotype" w:hAnsi="Palatino Linotype"/>
          <w:sz w:val="26"/>
          <w:szCs w:val="26"/>
        </w:rPr>
        <w:tab/>
      </w:r>
      <w:r w:rsidR="00186C10" w:rsidRPr="00186C10">
        <w:rPr>
          <w:rFonts w:ascii="Palatino Linotype" w:hAnsi="Palatino Linotype" w:cs="Times New Roman"/>
          <w:sz w:val="24"/>
          <w:szCs w:val="24"/>
        </w:rPr>
        <w:t>Inspectoratele școlare sunt instituții publice deconcentrate ale Ministerului Educației Naționale, în conformitate cu Hotărârea Guvernului nr. 26/2017 privind organizarea și funcționarea Ministerului Educației Naționale</w:t>
      </w:r>
      <w:r w:rsidR="008A52E7">
        <w:rPr>
          <w:rFonts w:ascii="Palatino Linotype" w:hAnsi="Palatino Linotype" w:cs="Times New Roman"/>
          <w:sz w:val="24"/>
          <w:szCs w:val="24"/>
        </w:rPr>
        <w:t>, cu modificările și completările ulterioare</w:t>
      </w:r>
      <w:r w:rsidR="00186C10" w:rsidRPr="00186C10">
        <w:rPr>
          <w:rFonts w:ascii="Palatino Linotype" w:hAnsi="Palatino Linotype" w:cs="Times New Roman"/>
          <w:sz w:val="24"/>
          <w:szCs w:val="24"/>
        </w:rPr>
        <w:t>.</w:t>
      </w:r>
    </w:p>
    <w:p w:rsidR="008F41DA" w:rsidRDefault="00186C10" w:rsidP="00186C10">
      <w:pPr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"/>
          <w:sz w:val="24"/>
          <w:szCs w:val="24"/>
        </w:rPr>
      </w:pPr>
      <w:r w:rsidRPr="00186C10">
        <w:rPr>
          <w:rFonts w:ascii="Palatino Linotype" w:hAnsi="Palatino Linotype" w:cs="Times New Roman"/>
          <w:sz w:val="24"/>
          <w:szCs w:val="24"/>
        </w:rPr>
        <w:tab/>
        <w:t>Inspectoratul Școlar Județean Mehedinți</w:t>
      </w:r>
      <w:r w:rsidR="00167CD2">
        <w:rPr>
          <w:rFonts w:ascii="Palatino Linotype" w:hAnsi="Palatino Linotype" w:cs="Times New Roman"/>
          <w:sz w:val="24"/>
          <w:szCs w:val="24"/>
        </w:rPr>
        <w:t>, denumit în continuare</w:t>
      </w:r>
      <w:r w:rsidRPr="00186C10">
        <w:rPr>
          <w:rFonts w:ascii="Palatino Linotype" w:hAnsi="Palatino Linotype" w:cs="Times New Roman"/>
          <w:sz w:val="24"/>
          <w:szCs w:val="24"/>
        </w:rPr>
        <w:t xml:space="preserve"> </w:t>
      </w:r>
      <w:r w:rsidR="00FA084E">
        <w:rPr>
          <w:rFonts w:ascii="Palatino Linotype" w:hAnsi="Palatino Linotype" w:cs="Times New Roman"/>
          <w:sz w:val="24"/>
          <w:szCs w:val="24"/>
        </w:rPr>
        <w:t>ISJ Mehedinți</w:t>
      </w:r>
      <w:r w:rsidR="00167CD2">
        <w:rPr>
          <w:rFonts w:ascii="Palatino Linotype" w:hAnsi="Palatino Linotype" w:cs="Times New Roman"/>
          <w:sz w:val="24"/>
          <w:szCs w:val="24"/>
        </w:rPr>
        <w:t>,</w:t>
      </w:r>
      <w:r w:rsidR="00FA084E">
        <w:rPr>
          <w:rFonts w:ascii="Palatino Linotype" w:hAnsi="Palatino Linotype" w:cs="Times New Roman"/>
          <w:sz w:val="24"/>
          <w:szCs w:val="24"/>
        </w:rPr>
        <w:t xml:space="preserve"> </w:t>
      </w:r>
      <w:r w:rsidRPr="0083792D">
        <w:rPr>
          <w:rFonts w:ascii="Palatino Linotype" w:hAnsi="Palatino Linotype" w:cs="Times New Roman"/>
          <w:sz w:val="24"/>
          <w:szCs w:val="24"/>
        </w:rPr>
        <w:t xml:space="preserve">funcționează în imobilul, teren și clădiri, identificat cu nr. MF </w:t>
      </w:r>
      <w:r w:rsidRPr="00186C10">
        <w:rPr>
          <w:rFonts w:ascii="Palatino Linotype" w:hAnsi="Palatino Linotype" w:cs="Times New Roman"/>
          <w:sz w:val="24"/>
          <w:szCs w:val="24"/>
        </w:rPr>
        <w:t>154920</w:t>
      </w:r>
      <w:r>
        <w:rPr>
          <w:rFonts w:ascii="Palatino Linotype" w:hAnsi="Palatino Linotype" w:cs="Times New Roman"/>
          <w:sz w:val="24"/>
          <w:szCs w:val="24"/>
        </w:rPr>
        <w:t xml:space="preserve"> și </w:t>
      </w:r>
      <w:r w:rsidRPr="0083792D">
        <w:rPr>
          <w:rFonts w:ascii="Palatino Linotype" w:hAnsi="Palatino Linotype" w:cs="Times New Roman"/>
          <w:sz w:val="24"/>
          <w:szCs w:val="24"/>
        </w:rPr>
        <w:t xml:space="preserve">MF </w:t>
      </w:r>
      <w:r>
        <w:rPr>
          <w:rFonts w:ascii="Palatino Linotype" w:hAnsi="Palatino Linotype" w:cs="Times New Roman"/>
          <w:sz w:val="24"/>
          <w:szCs w:val="24"/>
        </w:rPr>
        <w:t>154921</w:t>
      </w:r>
      <w:r w:rsidRPr="0083792D">
        <w:rPr>
          <w:rFonts w:ascii="Palatino Linotype" w:hAnsi="Palatino Linotype" w:cs="Times New Roman"/>
          <w:sz w:val="24"/>
          <w:szCs w:val="24"/>
        </w:rPr>
        <w:t xml:space="preserve">, situat în </w:t>
      </w:r>
      <w:r w:rsidRPr="00186C10">
        <w:rPr>
          <w:rFonts w:ascii="Palatino Linotype" w:hAnsi="Palatino Linotype" w:cs="Times New Roman"/>
          <w:sz w:val="24"/>
          <w:szCs w:val="24"/>
        </w:rPr>
        <w:t>Municipiul Drobeta-Turnu Severin, str. Decebal nr. 23</w:t>
      </w:r>
      <w:r w:rsidRPr="0083792D">
        <w:rPr>
          <w:rFonts w:ascii="Palatino Linotype" w:hAnsi="Palatino Linotype" w:cs="Times New Roman"/>
          <w:sz w:val="24"/>
          <w:szCs w:val="24"/>
        </w:rPr>
        <w:t xml:space="preserve">, </w:t>
      </w:r>
      <w:r>
        <w:rPr>
          <w:rFonts w:ascii="Palatino Linotype" w:hAnsi="Palatino Linotype" w:cs="Times New Roman"/>
          <w:sz w:val="24"/>
          <w:szCs w:val="24"/>
        </w:rPr>
        <w:t xml:space="preserve">imobil preluat prin transfer, conform </w:t>
      </w:r>
      <w:r w:rsidR="00744513">
        <w:rPr>
          <w:rFonts w:ascii="Palatino Linotype" w:hAnsi="Palatino Linotype" w:cs="Times New Roman"/>
          <w:sz w:val="24"/>
          <w:szCs w:val="24"/>
        </w:rPr>
        <w:t xml:space="preserve">prevederilor </w:t>
      </w:r>
      <w:r>
        <w:rPr>
          <w:rFonts w:ascii="Palatino Linotype" w:hAnsi="Palatino Linotype" w:cs="Times New Roman"/>
          <w:sz w:val="24"/>
          <w:szCs w:val="24"/>
        </w:rPr>
        <w:t>HG nr. 161/2007</w:t>
      </w:r>
      <w:r w:rsidR="00FA084E">
        <w:rPr>
          <w:rFonts w:ascii="Palatino Linotype" w:hAnsi="Palatino Linotype" w:cs="Times New Roman"/>
          <w:sz w:val="24"/>
          <w:szCs w:val="24"/>
        </w:rPr>
        <w:t xml:space="preserve"> </w:t>
      </w:r>
      <w:r w:rsidR="00FA084E" w:rsidRPr="00FA084E">
        <w:rPr>
          <w:rFonts w:ascii="Palatino Linotype" w:hAnsi="Palatino Linotype" w:cs="Times New Roman"/>
          <w:i/>
          <w:sz w:val="24"/>
          <w:szCs w:val="24"/>
        </w:rPr>
        <w:t xml:space="preserve">privind transmiterea unui imobil, proprietate publică a statului, din administrarea Ministerului </w:t>
      </w:r>
      <w:proofErr w:type="spellStart"/>
      <w:r w:rsidR="00FA084E" w:rsidRPr="00FA084E">
        <w:rPr>
          <w:rFonts w:ascii="Palatino Linotype" w:hAnsi="Palatino Linotype" w:cs="Times New Roman"/>
          <w:i/>
          <w:sz w:val="24"/>
          <w:szCs w:val="24"/>
        </w:rPr>
        <w:t>Administraţiei</w:t>
      </w:r>
      <w:proofErr w:type="spellEnd"/>
      <w:r w:rsidR="00FA084E" w:rsidRPr="00FA084E">
        <w:rPr>
          <w:rFonts w:ascii="Palatino Linotype" w:hAnsi="Palatino Linotype" w:cs="Times New Roman"/>
          <w:i/>
          <w:sz w:val="24"/>
          <w:szCs w:val="24"/>
        </w:rPr>
        <w:t xml:space="preserve"> </w:t>
      </w:r>
      <w:proofErr w:type="spellStart"/>
      <w:r w:rsidR="00FA084E" w:rsidRPr="00FA084E">
        <w:rPr>
          <w:rFonts w:ascii="Palatino Linotype" w:hAnsi="Palatino Linotype" w:cs="Times New Roman"/>
          <w:i/>
          <w:sz w:val="24"/>
          <w:szCs w:val="24"/>
        </w:rPr>
        <w:t>şi</w:t>
      </w:r>
      <w:proofErr w:type="spellEnd"/>
      <w:r w:rsidR="00FA084E" w:rsidRPr="00FA084E">
        <w:rPr>
          <w:rFonts w:ascii="Palatino Linotype" w:hAnsi="Palatino Linotype" w:cs="Times New Roman"/>
          <w:i/>
          <w:sz w:val="24"/>
          <w:szCs w:val="24"/>
        </w:rPr>
        <w:t xml:space="preserve"> Internelor în administrarea Ministerului </w:t>
      </w:r>
      <w:proofErr w:type="spellStart"/>
      <w:r w:rsidR="00FA084E" w:rsidRPr="00FA084E">
        <w:rPr>
          <w:rFonts w:ascii="Palatino Linotype" w:hAnsi="Palatino Linotype" w:cs="Times New Roman"/>
          <w:i/>
          <w:sz w:val="24"/>
          <w:szCs w:val="24"/>
        </w:rPr>
        <w:t>Educaţiei</w:t>
      </w:r>
      <w:proofErr w:type="spellEnd"/>
      <w:r w:rsidR="00FA084E" w:rsidRPr="00FA084E">
        <w:rPr>
          <w:rFonts w:ascii="Palatino Linotype" w:hAnsi="Palatino Linotype" w:cs="Times New Roman"/>
          <w:i/>
          <w:sz w:val="24"/>
          <w:szCs w:val="24"/>
        </w:rPr>
        <w:t xml:space="preserve"> </w:t>
      </w:r>
      <w:proofErr w:type="spellStart"/>
      <w:r w:rsidR="00FA084E" w:rsidRPr="00FA084E">
        <w:rPr>
          <w:rFonts w:ascii="Palatino Linotype" w:hAnsi="Palatino Linotype" w:cs="Times New Roman"/>
          <w:i/>
          <w:sz w:val="24"/>
          <w:szCs w:val="24"/>
        </w:rPr>
        <w:t>şi</w:t>
      </w:r>
      <w:proofErr w:type="spellEnd"/>
      <w:r w:rsidR="00FA084E" w:rsidRPr="00FA084E">
        <w:rPr>
          <w:rFonts w:ascii="Palatino Linotype" w:hAnsi="Palatino Linotype" w:cs="Times New Roman"/>
          <w:i/>
          <w:sz w:val="24"/>
          <w:szCs w:val="24"/>
        </w:rPr>
        <w:t xml:space="preserve"> Cercetării</w:t>
      </w:r>
      <w:r w:rsidRPr="00186C10">
        <w:rPr>
          <w:rFonts w:ascii="Palatino Linotype" w:hAnsi="Palatino Linotype" w:cs="Times New Roman"/>
          <w:sz w:val="24"/>
          <w:szCs w:val="24"/>
        </w:rPr>
        <w:t>.</w:t>
      </w:r>
      <w:r w:rsidR="00FA084E">
        <w:rPr>
          <w:rFonts w:ascii="Palatino Linotype" w:hAnsi="Palatino Linotype" w:cs="Times New Roman"/>
          <w:sz w:val="24"/>
          <w:szCs w:val="24"/>
        </w:rPr>
        <w:t xml:space="preserve"> Astfel, </w:t>
      </w:r>
      <w:r w:rsidR="00744513">
        <w:rPr>
          <w:rFonts w:ascii="Palatino Linotype" w:hAnsi="Palatino Linotype" w:cs="Times New Roman"/>
          <w:sz w:val="24"/>
          <w:szCs w:val="24"/>
        </w:rPr>
        <w:t xml:space="preserve">conform inventarului centralizat al bunurilor din domeniul public al statului, </w:t>
      </w:r>
      <w:r w:rsidR="00FA084E">
        <w:rPr>
          <w:rFonts w:ascii="Palatino Linotype" w:hAnsi="Palatino Linotype" w:cs="Times New Roman"/>
          <w:sz w:val="24"/>
          <w:szCs w:val="24"/>
        </w:rPr>
        <w:t xml:space="preserve">imobilul transmis ca sediu al </w:t>
      </w:r>
      <w:r w:rsidR="00167CD2">
        <w:rPr>
          <w:rFonts w:ascii="Palatino Linotype" w:hAnsi="Palatino Linotype" w:cs="Times New Roman"/>
          <w:sz w:val="24"/>
          <w:szCs w:val="24"/>
        </w:rPr>
        <w:t>ISJ Mehedinți</w:t>
      </w:r>
      <w:r w:rsidR="00FA084E">
        <w:rPr>
          <w:rFonts w:ascii="Palatino Linotype" w:hAnsi="Palatino Linotype" w:cs="Times New Roman"/>
          <w:sz w:val="24"/>
          <w:szCs w:val="24"/>
        </w:rPr>
        <w:t xml:space="preserve"> se compune din </w:t>
      </w:r>
      <w:r w:rsidR="00FA084E" w:rsidRPr="00942FD0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teren în suprafață de </w:t>
      </w:r>
      <w:r w:rsidR="00FA084E">
        <w:rPr>
          <w:rFonts w:ascii="Palatino Linotype" w:eastAsia="Times New Roman" w:hAnsi="Palatino Linotype" w:cs="Times New Roman"/>
          <w:sz w:val="24"/>
          <w:szCs w:val="24"/>
          <w:lang w:eastAsia="ro-RO"/>
        </w:rPr>
        <w:t>1.712,03 mp</w:t>
      </w:r>
      <w:r w:rsidR="00E15A24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și se identifică </w:t>
      </w:r>
      <w:r w:rsidR="00E15A24">
        <w:rPr>
          <w:rFonts w:ascii="Palatino Linotype" w:hAnsi="Palatino Linotype" w:cs="Times New Roman"/>
          <w:sz w:val="24"/>
          <w:szCs w:val="24"/>
        </w:rPr>
        <w:t>în</w:t>
      </w:r>
      <w:r w:rsidR="00E15A24" w:rsidRPr="00E15A24">
        <w:rPr>
          <w:rFonts w:ascii="Palatino Linotype" w:hAnsi="Palatino Linotype" w:cs="Times New Roman"/>
          <w:sz w:val="24"/>
          <w:szCs w:val="24"/>
        </w:rPr>
        <w:t xml:space="preserve"> </w:t>
      </w:r>
      <w:r w:rsidR="00E15A24" w:rsidRPr="00FD5A89">
        <w:rPr>
          <w:rFonts w:ascii="Palatino Linotype" w:hAnsi="Palatino Linotype" w:cs="Times New Roman"/>
          <w:sz w:val="24"/>
          <w:szCs w:val="24"/>
        </w:rPr>
        <w:t>inventarul centralizat al bunurilor din domeniul public al statului</w:t>
      </w:r>
      <w:r w:rsidR="00E15A24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cu nr. </w:t>
      </w:r>
      <w:r w:rsidR="00E15A24" w:rsidRPr="008F41DA">
        <w:rPr>
          <w:rFonts w:ascii="Palatino Linotype" w:hAnsi="Palatino Linotype" w:cs="Times New Roman"/>
          <w:sz w:val="24"/>
          <w:szCs w:val="24"/>
        </w:rPr>
        <w:t xml:space="preserve">MF </w:t>
      </w:r>
      <w:r w:rsidR="00E15A24">
        <w:rPr>
          <w:rFonts w:ascii="Palatino Linotype" w:hAnsi="Palatino Linotype" w:cs="Times New Roman"/>
          <w:sz w:val="24"/>
          <w:szCs w:val="24"/>
        </w:rPr>
        <w:t>154921</w:t>
      </w:r>
      <w:r w:rsidR="00FA084E">
        <w:rPr>
          <w:rFonts w:ascii="Palatino Linotype" w:eastAsia="Times New Roman" w:hAnsi="Palatino Linotype" w:cs="Times New Roman"/>
          <w:sz w:val="24"/>
          <w:szCs w:val="24"/>
          <w:lang w:eastAsia="ro-RO"/>
        </w:rPr>
        <w:t>, clădire – pavilion principal</w:t>
      </w:r>
      <w:r w:rsidR="008A44AE">
        <w:rPr>
          <w:rFonts w:ascii="Palatino Linotype" w:eastAsia="Times New Roman" w:hAnsi="Palatino Linotype" w:cs="Times New Roman"/>
          <w:sz w:val="24"/>
          <w:szCs w:val="24"/>
          <w:lang w:eastAsia="ro-RO"/>
        </w:rPr>
        <w:t>,</w:t>
      </w:r>
      <w:r w:rsidR="00FA084E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având</w:t>
      </w:r>
      <w:r w:rsidR="008A44AE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regimul de înălțime P+2E și</w:t>
      </w:r>
      <w:r w:rsidR="00FA084E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</w:t>
      </w:r>
      <w:r w:rsidR="00FA084E" w:rsidRPr="009013E2">
        <w:rPr>
          <w:rFonts w:ascii="Palatino Linotype" w:hAnsi="Palatino Linotype" w:cs="Times New Roman"/>
          <w:sz w:val="24"/>
          <w:szCs w:val="24"/>
        </w:rPr>
        <w:t xml:space="preserve">suprafața construită de </w:t>
      </w:r>
      <w:r w:rsidR="00FA084E">
        <w:rPr>
          <w:rFonts w:ascii="Palatino Linotype" w:hAnsi="Palatino Linotype" w:cs="Times New Roman"/>
          <w:sz w:val="24"/>
          <w:szCs w:val="24"/>
        </w:rPr>
        <w:t>66</w:t>
      </w:r>
      <w:r w:rsidR="002E5DE4">
        <w:rPr>
          <w:rFonts w:ascii="Palatino Linotype" w:hAnsi="Palatino Linotype" w:cs="Times New Roman"/>
          <w:sz w:val="24"/>
          <w:szCs w:val="24"/>
        </w:rPr>
        <w:t>3</w:t>
      </w:r>
      <w:r w:rsidR="00FA084E">
        <w:rPr>
          <w:rFonts w:ascii="Palatino Linotype" w:hAnsi="Palatino Linotype" w:cs="Times New Roman"/>
          <w:sz w:val="24"/>
          <w:szCs w:val="24"/>
        </w:rPr>
        <w:t>,12</w:t>
      </w:r>
      <w:r w:rsidR="00FA084E" w:rsidRPr="009013E2">
        <w:rPr>
          <w:rFonts w:ascii="Palatino Linotype" w:hAnsi="Palatino Linotype" w:cs="Times New Roman"/>
          <w:sz w:val="24"/>
          <w:szCs w:val="24"/>
        </w:rPr>
        <w:t xml:space="preserve"> mp</w:t>
      </w:r>
      <w:r w:rsidR="00FA084E">
        <w:rPr>
          <w:rFonts w:ascii="Palatino Linotype" w:hAnsi="Palatino Linotype" w:cs="Times New Roman"/>
          <w:sz w:val="24"/>
          <w:szCs w:val="24"/>
        </w:rPr>
        <w:t xml:space="preserve"> și clădire – cabină poartă</w:t>
      </w:r>
      <w:r w:rsidR="00FA084E" w:rsidRPr="00FA084E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</w:t>
      </w:r>
      <w:r w:rsidR="00FA084E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având </w:t>
      </w:r>
      <w:r w:rsidR="00FA084E" w:rsidRPr="009013E2">
        <w:rPr>
          <w:rFonts w:ascii="Palatino Linotype" w:hAnsi="Palatino Linotype" w:cs="Times New Roman"/>
          <w:sz w:val="24"/>
          <w:szCs w:val="24"/>
        </w:rPr>
        <w:t xml:space="preserve">suprafața construită de </w:t>
      </w:r>
      <w:r w:rsidR="00FA084E">
        <w:rPr>
          <w:rFonts w:ascii="Palatino Linotype" w:hAnsi="Palatino Linotype" w:cs="Times New Roman"/>
          <w:sz w:val="24"/>
          <w:szCs w:val="24"/>
        </w:rPr>
        <w:t>7,16</w:t>
      </w:r>
      <w:r w:rsidR="00FA084E" w:rsidRPr="009013E2">
        <w:rPr>
          <w:rFonts w:ascii="Palatino Linotype" w:hAnsi="Palatino Linotype" w:cs="Times New Roman"/>
          <w:sz w:val="24"/>
          <w:szCs w:val="24"/>
        </w:rPr>
        <w:t xml:space="preserve"> mp</w:t>
      </w:r>
      <w:r w:rsidR="00E15A24">
        <w:rPr>
          <w:rFonts w:ascii="Palatino Linotype" w:hAnsi="Palatino Linotype" w:cs="Times New Roman"/>
          <w:sz w:val="24"/>
          <w:szCs w:val="24"/>
        </w:rPr>
        <w:t xml:space="preserve">, ambele clădiri identificându-se </w:t>
      </w:r>
      <w:r w:rsidR="00E15A24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cu nr. </w:t>
      </w:r>
      <w:r w:rsidR="00E15A24" w:rsidRPr="008F41DA">
        <w:rPr>
          <w:rFonts w:ascii="Palatino Linotype" w:hAnsi="Palatino Linotype" w:cs="Times New Roman"/>
          <w:sz w:val="24"/>
          <w:szCs w:val="24"/>
        </w:rPr>
        <w:t xml:space="preserve">MF </w:t>
      </w:r>
      <w:r w:rsidR="00E15A24">
        <w:rPr>
          <w:rFonts w:ascii="Palatino Linotype" w:hAnsi="Palatino Linotype" w:cs="Times New Roman"/>
          <w:sz w:val="24"/>
          <w:szCs w:val="24"/>
        </w:rPr>
        <w:t>154920</w:t>
      </w:r>
      <w:r w:rsidR="00FA084E">
        <w:rPr>
          <w:rFonts w:ascii="Palatino Linotype" w:hAnsi="Palatino Linotype" w:cs="Times New Roman"/>
          <w:sz w:val="24"/>
          <w:szCs w:val="24"/>
        </w:rPr>
        <w:t>.</w:t>
      </w:r>
      <w:r w:rsidR="008E6130">
        <w:rPr>
          <w:rFonts w:ascii="Palatino Linotype" w:hAnsi="Palatino Linotype" w:cs="Times New Roman"/>
          <w:sz w:val="24"/>
          <w:szCs w:val="24"/>
        </w:rPr>
        <w:t xml:space="preserve"> </w:t>
      </w:r>
    </w:p>
    <w:p w:rsidR="008F41DA" w:rsidRDefault="00E15A24" w:rsidP="00E15A24">
      <w:pPr>
        <w:autoSpaceDE w:val="0"/>
        <w:autoSpaceDN w:val="0"/>
        <w:adjustRightInd w:val="0"/>
        <w:spacing w:after="0"/>
        <w:ind w:firstLine="708"/>
        <w:jc w:val="both"/>
        <w:rPr>
          <w:rFonts w:ascii="Palatino Linotype" w:hAnsi="Palatino Linotype" w:cs="Times New Roman"/>
          <w:sz w:val="24"/>
          <w:szCs w:val="24"/>
        </w:rPr>
      </w:pPr>
      <w:r w:rsidRPr="00FF0083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În programul informatic „PATRIM-patrimoniul public al statului”, bunul imobil </w:t>
      </w:r>
      <w:r w:rsidR="008A52E7">
        <w:rPr>
          <w:rFonts w:ascii="Palatino Linotype" w:eastAsia="Times New Roman" w:hAnsi="Palatino Linotype" w:cs="Times New Roman"/>
          <w:sz w:val="24"/>
          <w:szCs w:val="24"/>
          <w:lang w:eastAsia="ro-RO"/>
        </w:rPr>
        <w:t>care a făcut obiectul</w:t>
      </w:r>
      <w:r w:rsidRPr="00FF0083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HG nr. 161/2007</w:t>
      </w:r>
      <w:r>
        <w:rPr>
          <w:rFonts w:ascii="Palatino Linotype" w:hAnsi="Palatino Linotype" w:cs="Times New Roman"/>
          <w:sz w:val="24"/>
          <w:szCs w:val="24"/>
        </w:rPr>
        <w:t xml:space="preserve"> </w:t>
      </w:r>
      <w:r w:rsidRPr="00FA084E">
        <w:rPr>
          <w:rFonts w:ascii="Palatino Linotype" w:hAnsi="Palatino Linotype" w:cs="Times New Roman"/>
          <w:i/>
          <w:sz w:val="24"/>
          <w:szCs w:val="24"/>
        </w:rPr>
        <w:t xml:space="preserve">privind transmiterea unui imobil, proprietate publică a statului, din administrarea Ministerului </w:t>
      </w:r>
      <w:proofErr w:type="spellStart"/>
      <w:r w:rsidRPr="00FA084E">
        <w:rPr>
          <w:rFonts w:ascii="Palatino Linotype" w:hAnsi="Palatino Linotype" w:cs="Times New Roman"/>
          <w:i/>
          <w:sz w:val="24"/>
          <w:szCs w:val="24"/>
        </w:rPr>
        <w:t>Administraţiei</w:t>
      </w:r>
      <w:proofErr w:type="spellEnd"/>
      <w:r w:rsidRPr="00FA084E">
        <w:rPr>
          <w:rFonts w:ascii="Palatino Linotype" w:hAnsi="Palatino Linotype" w:cs="Times New Roman"/>
          <w:i/>
          <w:sz w:val="24"/>
          <w:szCs w:val="24"/>
        </w:rPr>
        <w:t xml:space="preserve"> </w:t>
      </w:r>
      <w:proofErr w:type="spellStart"/>
      <w:r w:rsidRPr="00FA084E">
        <w:rPr>
          <w:rFonts w:ascii="Palatino Linotype" w:hAnsi="Palatino Linotype" w:cs="Times New Roman"/>
          <w:i/>
          <w:sz w:val="24"/>
          <w:szCs w:val="24"/>
        </w:rPr>
        <w:t>şi</w:t>
      </w:r>
      <w:proofErr w:type="spellEnd"/>
      <w:r w:rsidRPr="00FA084E">
        <w:rPr>
          <w:rFonts w:ascii="Palatino Linotype" w:hAnsi="Palatino Linotype" w:cs="Times New Roman"/>
          <w:i/>
          <w:sz w:val="24"/>
          <w:szCs w:val="24"/>
        </w:rPr>
        <w:t xml:space="preserve"> Internelor în administrarea Ministerului </w:t>
      </w:r>
      <w:proofErr w:type="spellStart"/>
      <w:r w:rsidRPr="00FA084E">
        <w:rPr>
          <w:rFonts w:ascii="Palatino Linotype" w:hAnsi="Palatino Linotype" w:cs="Times New Roman"/>
          <w:i/>
          <w:sz w:val="24"/>
          <w:szCs w:val="24"/>
        </w:rPr>
        <w:t>Educaţiei</w:t>
      </w:r>
      <w:proofErr w:type="spellEnd"/>
      <w:r w:rsidRPr="00FA084E">
        <w:rPr>
          <w:rFonts w:ascii="Palatino Linotype" w:hAnsi="Palatino Linotype" w:cs="Times New Roman"/>
          <w:i/>
          <w:sz w:val="24"/>
          <w:szCs w:val="24"/>
        </w:rPr>
        <w:t xml:space="preserve"> </w:t>
      </w:r>
      <w:proofErr w:type="spellStart"/>
      <w:r w:rsidRPr="00FA084E">
        <w:rPr>
          <w:rFonts w:ascii="Palatino Linotype" w:hAnsi="Palatino Linotype" w:cs="Times New Roman"/>
          <w:i/>
          <w:sz w:val="24"/>
          <w:szCs w:val="24"/>
        </w:rPr>
        <w:t>şi</w:t>
      </w:r>
      <w:proofErr w:type="spellEnd"/>
      <w:r w:rsidRPr="00FA084E">
        <w:rPr>
          <w:rFonts w:ascii="Palatino Linotype" w:hAnsi="Palatino Linotype" w:cs="Times New Roman"/>
          <w:i/>
          <w:sz w:val="24"/>
          <w:szCs w:val="24"/>
        </w:rPr>
        <w:t xml:space="preserve"> Cercetării</w:t>
      </w:r>
      <w:r>
        <w:rPr>
          <w:rFonts w:ascii="Palatino Linotype" w:hAnsi="Palatino Linotype" w:cs="Times New Roman"/>
          <w:i/>
          <w:sz w:val="24"/>
          <w:szCs w:val="24"/>
        </w:rPr>
        <w:t xml:space="preserve">, </w:t>
      </w:r>
      <w:r>
        <w:rPr>
          <w:rFonts w:ascii="Palatino Linotype" w:hAnsi="Palatino Linotype" w:cs="Times New Roman"/>
          <w:sz w:val="24"/>
          <w:szCs w:val="24"/>
        </w:rPr>
        <w:t xml:space="preserve">dintr-o eroare a fost înregistrat atât cu nr. de identificare MF 37229, cu denumirea „64-02”, </w:t>
      </w:r>
      <w:r w:rsidR="00744513">
        <w:rPr>
          <w:rFonts w:ascii="Palatino Linotype" w:hAnsi="Palatino Linotype" w:cs="Times New Roman"/>
          <w:sz w:val="24"/>
          <w:szCs w:val="24"/>
        </w:rPr>
        <w:t xml:space="preserve">așa cum figura bunul la momentul preluării, </w:t>
      </w:r>
      <w:r>
        <w:rPr>
          <w:rFonts w:ascii="Palatino Linotype" w:hAnsi="Palatino Linotype" w:cs="Times New Roman"/>
          <w:sz w:val="24"/>
          <w:szCs w:val="24"/>
        </w:rPr>
        <w:t xml:space="preserve">cât și </w:t>
      </w:r>
      <w:r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cu nr. </w:t>
      </w:r>
      <w:r w:rsidRPr="008F41DA">
        <w:rPr>
          <w:rFonts w:ascii="Palatino Linotype" w:hAnsi="Palatino Linotype" w:cs="Times New Roman"/>
          <w:sz w:val="24"/>
          <w:szCs w:val="24"/>
        </w:rPr>
        <w:t xml:space="preserve">MF </w:t>
      </w:r>
      <w:r>
        <w:rPr>
          <w:rFonts w:ascii="Palatino Linotype" w:hAnsi="Palatino Linotype" w:cs="Times New Roman"/>
          <w:sz w:val="24"/>
          <w:szCs w:val="24"/>
        </w:rPr>
        <w:t>15492</w:t>
      </w:r>
      <w:r w:rsidR="00FF0083">
        <w:rPr>
          <w:rFonts w:ascii="Palatino Linotype" w:hAnsi="Palatino Linotype" w:cs="Times New Roman"/>
          <w:sz w:val="24"/>
          <w:szCs w:val="24"/>
        </w:rPr>
        <w:t>0</w:t>
      </w:r>
      <w:r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, cu denumirea </w:t>
      </w:r>
      <w:r w:rsidR="00FF0083">
        <w:rPr>
          <w:rFonts w:ascii="Palatino Linotype" w:eastAsia="Times New Roman" w:hAnsi="Palatino Linotype" w:cs="Times New Roman"/>
          <w:sz w:val="24"/>
          <w:szCs w:val="24"/>
          <w:lang w:eastAsia="ro-RO"/>
        </w:rPr>
        <w:t>„</w:t>
      </w:r>
      <w:r w:rsidR="00FF0083">
        <w:rPr>
          <w:rFonts w:ascii="Palatino Linotype" w:hAnsi="Palatino Linotype" w:cs="Times New Roman"/>
          <w:sz w:val="24"/>
          <w:szCs w:val="24"/>
        </w:rPr>
        <w:t>ISJ Mehedinți</w:t>
      </w:r>
      <w:r w:rsidR="00FF0083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- </w:t>
      </w:r>
      <w:r>
        <w:rPr>
          <w:rFonts w:ascii="Palatino Linotype" w:eastAsia="Times New Roman" w:hAnsi="Palatino Linotype" w:cs="Times New Roman"/>
          <w:sz w:val="24"/>
          <w:szCs w:val="24"/>
          <w:lang w:eastAsia="ro-RO"/>
        </w:rPr>
        <w:t>clădire sediu</w:t>
      </w:r>
      <w:r w:rsidR="00FF0083">
        <w:rPr>
          <w:rFonts w:ascii="Palatino Linotype" w:eastAsia="Times New Roman" w:hAnsi="Palatino Linotype" w:cs="Times New Roman"/>
          <w:sz w:val="24"/>
          <w:szCs w:val="24"/>
          <w:lang w:eastAsia="ro-RO"/>
        </w:rPr>
        <w:t>”</w:t>
      </w:r>
      <w:r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și nr. </w:t>
      </w:r>
      <w:r w:rsidRPr="008F41DA">
        <w:rPr>
          <w:rFonts w:ascii="Palatino Linotype" w:hAnsi="Palatino Linotype" w:cs="Times New Roman"/>
          <w:sz w:val="24"/>
          <w:szCs w:val="24"/>
        </w:rPr>
        <w:t xml:space="preserve">MF </w:t>
      </w:r>
      <w:r>
        <w:rPr>
          <w:rFonts w:ascii="Palatino Linotype" w:hAnsi="Palatino Linotype" w:cs="Times New Roman"/>
          <w:sz w:val="24"/>
          <w:szCs w:val="24"/>
        </w:rPr>
        <w:t>154921</w:t>
      </w:r>
      <w:r>
        <w:rPr>
          <w:rFonts w:ascii="Palatino Linotype" w:eastAsia="Times New Roman" w:hAnsi="Palatino Linotype" w:cs="Times New Roman"/>
          <w:sz w:val="24"/>
          <w:szCs w:val="24"/>
          <w:lang w:eastAsia="ro-RO"/>
        </w:rPr>
        <w:t>, cu denumirea</w:t>
      </w:r>
      <w:r w:rsidR="00FF0083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„</w:t>
      </w:r>
      <w:r w:rsidR="00FF0083">
        <w:rPr>
          <w:rFonts w:ascii="Palatino Linotype" w:hAnsi="Palatino Linotype" w:cs="Times New Roman"/>
          <w:sz w:val="24"/>
          <w:szCs w:val="24"/>
        </w:rPr>
        <w:t>ISJ Mehedinți – teren”</w:t>
      </w:r>
      <w:r w:rsidRPr="00EC32CF">
        <w:rPr>
          <w:szCs w:val="24"/>
        </w:rPr>
        <w:t>.</w:t>
      </w:r>
      <w:r w:rsidR="00FF0083">
        <w:rPr>
          <w:szCs w:val="24"/>
        </w:rPr>
        <w:t xml:space="preserve"> </w:t>
      </w:r>
      <w:r w:rsidR="00FF0083" w:rsidRPr="00FF0083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Astfel, </w:t>
      </w:r>
      <w:r w:rsidR="00FF0083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pentru evitarea dublei înregistrări, </w:t>
      </w:r>
      <w:r w:rsidR="00FF0083" w:rsidRPr="00FF0083">
        <w:rPr>
          <w:rFonts w:ascii="Palatino Linotype" w:eastAsia="Times New Roman" w:hAnsi="Palatino Linotype" w:cs="Times New Roman"/>
          <w:sz w:val="24"/>
          <w:szCs w:val="24"/>
          <w:lang w:eastAsia="ro-RO"/>
        </w:rPr>
        <w:t>se impune sco</w:t>
      </w:r>
      <w:r w:rsidR="00FF0083">
        <w:rPr>
          <w:rFonts w:ascii="Palatino Linotype" w:eastAsia="Times New Roman" w:hAnsi="Palatino Linotype" w:cs="Times New Roman"/>
          <w:sz w:val="24"/>
          <w:szCs w:val="24"/>
          <w:lang w:eastAsia="ro-RO"/>
        </w:rPr>
        <w:t>a</w:t>
      </w:r>
      <w:r w:rsidR="00FF0083" w:rsidRPr="00FF0083">
        <w:rPr>
          <w:rFonts w:ascii="Palatino Linotype" w:eastAsia="Times New Roman" w:hAnsi="Palatino Linotype" w:cs="Times New Roman"/>
          <w:sz w:val="24"/>
          <w:szCs w:val="24"/>
          <w:lang w:eastAsia="ro-RO"/>
        </w:rPr>
        <w:t>terea din inventarul</w:t>
      </w:r>
      <w:r w:rsidR="00FF0083" w:rsidRPr="009013E2">
        <w:rPr>
          <w:rFonts w:ascii="Palatino Linotype" w:hAnsi="Palatino Linotype" w:cs="Times New Roman"/>
          <w:sz w:val="24"/>
          <w:szCs w:val="24"/>
        </w:rPr>
        <w:t xml:space="preserve"> centralizat al bunurilor din domeniul public al statului</w:t>
      </w:r>
      <w:r w:rsidR="00FF0083">
        <w:rPr>
          <w:rFonts w:ascii="Palatino Linotype" w:hAnsi="Palatino Linotype" w:cs="Times New Roman"/>
          <w:sz w:val="24"/>
          <w:szCs w:val="24"/>
        </w:rPr>
        <w:t xml:space="preserve"> a nr. MF 37229</w:t>
      </w:r>
      <w:r w:rsidR="008A52E7">
        <w:rPr>
          <w:rFonts w:ascii="Palatino Linotype" w:hAnsi="Palatino Linotype" w:cs="Times New Roman"/>
          <w:sz w:val="24"/>
          <w:szCs w:val="24"/>
        </w:rPr>
        <w:t>, înscris eronat</w:t>
      </w:r>
      <w:r w:rsidR="00FF0083" w:rsidRPr="009013E2">
        <w:rPr>
          <w:rFonts w:ascii="Palatino Linotype" w:hAnsi="Palatino Linotype" w:cs="Times New Roman"/>
          <w:sz w:val="24"/>
          <w:szCs w:val="24"/>
        </w:rPr>
        <w:t>.</w:t>
      </w:r>
    </w:p>
    <w:p w:rsidR="00305090" w:rsidRDefault="00305090" w:rsidP="00305090">
      <w:pPr>
        <w:autoSpaceDE w:val="0"/>
        <w:autoSpaceDN w:val="0"/>
        <w:adjustRightInd w:val="0"/>
        <w:spacing w:after="0"/>
        <w:ind w:firstLine="708"/>
        <w:jc w:val="both"/>
        <w:rPr>
          <w:rFonts w:ascii="Palatino Linotype" w:hAnsi="Palatino Linotype" w:cs="Times New Roman"/>
          <w:sz w:val="24"/>
          <w:szCs w:val="24"/>
        </w:rPr>
      </w:pPr>
      <w:r w:rsidRPr="00FB13F5">
        <w:rPr>
          <w:rFonts w:ascii="Palatino Linotype" w:eastAsia="Times New Roman" w:hAnsi="Palatino Linotype" w:cs="Times New Roman"/>
          <w:sz w:val="24"/>
          <w:szCs w:val="24"/>
          <w:lang w:eastAsia="ro-RO"/>
        </w:rPr>
        <w:t>Clădirea cu destinația de cab</w:t>
      </w:r>
      <w:bookmarkStart w:id="0" w:name="_GoBack"/>
      <w:bookmarkEnd w:id="0"/>
      <w:r w:rsidRPr="00FB13F5">
        <w:rPr>
          <w:rFonts w:ascii="Palatino Linotype" w:eastAsia="Times New Roman" w:hAnsi="Palatino Linotype" w:cs="Times New Roman"/>
          <w:sz w:val="24"/>
          <w:szCs w:val="24"/>
          <w:lang w:eastAsia="ro-RO"/>
        </w:rPr>
        <w:t>ină poartă (punct control acces), clădire provizorie, fără fundații</w:t>
      </w:r>
      <w:r>
        <w:rPr>
          <w:rFonts w:ascii="Palatino Linotype" w:hAnsi="Palatino Linotype" w:cs="Times New Roman"/>
          <w:sz w:val="24"/>
          <w:szCs w:val="24"/>
        </w:rPr>
        <w:t xml:space="preserve">, din cărămidă și cu acoperișul din plăci prefabricate, cu hidroizolație, la momentul preluării </w:t>
      </w:r>
      <w:r w:rsidRPr="00FF0083">
        <w:rPr>
          <w:rFonts w:ascii="Palatino Linotype" w:hAnsi="Palatino Linotype" w:cs="Times New Roman"/>
          <w:sz w:val="24"/>
          <w:szCs w:val="24"/>
        </w:rPr>
        <w:t xml:space="preserve">se afla într-o stare avansată de degradare, </w:t>
      </w:r>
      <w:r>
        <w:rPr>
          <w:rFonts w:ascii="Palatino Linotype" w:hAnsi="Palatino Linotype" w:cs="Times New Roman"/>
          <w:sz w:val="24"/>
          <w:szCs w:val="24"/>
        </w:rPr>
        <w:t>prezenta un grad de uzură foarte ridicat (85-90%)</w:t>
      </w:r>
      <w:r w:rsidRPr="003473A5">
        <w:rPr>
          <w:rFonts w:ascii="Palatino Linotype" w:hAnsi="Palatino Linotype" w:cs="Times New Roman"/>
          <w:sz w:val="24"/>
          <w:szCs w:val="24"/>
        </w:rPr>
        <w:t xml:space="preserve"> care nu mai permitea </w:t>
      </w:r>
      <w:r>
        <w:rPr>
          <w:rFonts w:ascii="Palatino Linotype" w:hAnsi="Palatino Linotype" w:cs="Times New Roman"/>
          <w:sz w:val="24"/>
          <w:szCs w:val="24"/>
        </w:rPr>
        <w:t xml:space="preserve">utilizarea ei, </w:t>
      </w:r>
      <w:r w:rsidRPr="008F41DA">
        <w:rPr>
          <w:rFonts w:ascii="Palatino Linotype" w:hAnsi="Palatino Linotype" w:cs="Times New Roman"/>
          <w:sz w:val="24"/>
          <w:szCs w:val="24"/>
        </w:rPr>
        <w:t xml:space="preserve">ceea ce a condus, în timp, la prăbușirea parțială a construcției. </w:t>
      </w:r>
      <w:r>
        <w:rPr>
          <w:rFonts w:ascii="Palatino Linotype" w:hAnsi="Palatino Linotype" w:cs="Times New Roman"/>
          <w:sz w:val="24"/>
          <w:szCs w:val="24"/>
        </w:rPr>
        <w:t>Ulterior, pentru evitarea unor accidente, construcția cu destinația de cabina poartă, cu suprafața construită de 16 mp, a fost dezmembrată.</w:t>
      </w:r>
    </w:p>
    <w:p w:rsidR="007918C1" w:rsidRPr="007918C1" w:rsidRDefault="007918C1" w:rsidP="00FB13F5">
      <w:pPr>
        <w:autoSpaceDE w:val="0"/>
        <w:autoSpaceDN w:val="0"/>
        <w:adjustRightInd w:val="0"/>
        <w:spacing w:after="0"/>
        <w:ind w:firstLine="708"/>
        <w:jc w:val="both"/>
        <w:rPr>
          <w:rFonts w:ascii="Palatino Linotype" w:eastAsia="Times New Roman" w:hAnsi="Palatino Linotype" w:cs="Times New Roman"/>
          <w:sz w:val="24"/>
          <w:szCs w:val="24"/>
          <w:lang w:eastAsia="ro-RO"/>
        </w:rPr>
      </w:pPr>
      <w:r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Clădirea – pavilion principal era compusă </w:t>
      </w:r>
      <w:r w:rsidR="007A2314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dintr-o clădire P+2E și o </w:t>
      </w:r>
      <w:r w:rsidRPr="007918C1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înșiruire de  </w:t>
      </w:r>
      <w:r w:rsidR="00960266">
        <w:rPr>
          <w:rFonts w:ascii="Palatino Linotype" w:eastAsia="Times New Roman" w:hAnsi="Palatino Linotype" w:cs="Times New Roman"/>
          <w:sz w:val="24"/>
          <w:szCs w:val="24"/>
          <w:lang w:eastAsia="ro-RO"/>
        </w:rPr>
        <w:t>construcții</w:t>
      </w:r>
      <w:r w:rsidRPr="007918C1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cu nivel de înălțime –parte</w:t>
      </w:r>
      <w:r w:rsidR="00067538">
        <w:rPr>
          <w:rFonts w:ascii="Palatino Linotype" w:eastAsia="Times New Roman" w:hAnsi="Palatino Linotype" w:cs="Times New Roman"/>
          <w:sz w:val="24"/>
          <w:szCs w:val="24"/>
          <w:lang w:eastAsia="ro-RO"/>
        </w:rPr>
        <w:t>r</w:t>
      </w:r>
      <w:r w:rsidRPr="007918C1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, lipite una de alta, </w:t>
      </w:r>
      <w:r w:rsidR="00D93A1F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având rost de tasare și dilatare față de pavilionul central, </w:t>
      </w:r>
      <w:r w:rsidRPr="007918C1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construite </w:t>
      </w:r>
      <w:r w:rsidR="00D93A1F">
        <w:rPr>
          <w:rFonts w:ascii="Palatino Linotype" w:eastAsia="Times New Roman" w:hAnsi="Palatino Linotype" w:cs="Times New Roman"/>
          <w:sz w:val="24"/>
          <w:szCs w:val="24"/>
          <w:lang w:eastAsia="ro-RO"/>
        </w:rPr>
        <w:t>cu</w:t>
      </w:r>
      <w:r w:rsidR="007A2314" w:rsidRPr="007918C1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fundații </w:t>
      </w:r>
      <w:r w:rsidR="00D93A1F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continue sub ziduri de beton </w:t>
      </w:r>
      <w:proofErr w:type="spellStart"/>
      <w:r w:rsidR="00D93A1F">
        <w:rPr>
          <w:rFonts w:ascii="Palatino Linotype" w:eastAsia="Times New Roman" w:hAnsi="Palatino Linotype" w:cs="Times New Roman"/>
          <w:sz w:val="24"/>
          <w:szCs w:val="24"/>
          <w:lang w:eastAsia="ro-RO"/>
        </w:rPr>
        <w:t>ciclopian</w:t>
      </w:r>
      <w:proofErr w:type="spellEnd"/>
      <w:r w:rsidR="00D93A1F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, </w:t>
      </w:r>
      <w:r w:rsidR="00D93A1F">
        <w:rPr>
          <w:rFonts w:ascii="Palatino Linotype" w:eastAsia="Times New Roman" w:hAnsi="Palatino Linotype" w:cs="Times New Roman"/>
          <w:sz w:val="24"/>
          <w:szCs w:val="24"/>
          <w:lang w:eastAsia="ro-RO"/>
        </w:rPr>
        <w:lastRenderedPageBreak/>
        <w:t xml:space="preserve">cu zidărie structurală </w:t>
      </w:r>
      <w:r w:rsidRPr="007918C1">
        <w:rPr>
          <w:rFonts w:ascii="Palatino Linotype" w:eastAsia="Times New Roman" w:hAnsi="Palatino Linotype" w:cs="Times New Roman"/>
          <w:sz w:val="24"/>
          <w:szCs w:val="24"/>
          <w:lang w:eastAsia="ro-RO"/>
        </w:rPr>
        <w:t>din cărămidă</w:t>
      </w:r>
      <w:r w:rsidR="007A2314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provenită din demolări</w:t>
      </w:r>
      <w:r w:rsidRPr="007918C1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, </w:t>
      </w:r>
      <w:r w:rsidR="007A2314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cu învelitoare din </w:t>
      </w:r>
      <w:r w:rsidRPr="007918C1">
        <w:rPr>
          <w:rFonts w:ascii="Palatino Linotype" w:eastAsia="Times New Roman" w:hAnsi="Palatino Linotype" w:cs="Times New Roman"/>
          <w:sz w:val="24"/>
          <w:szCs w:val="24"/>
          <w:lang w:eastAsia="ro-RO"/>
        </w:rPr>
        <w:t>tablă</w:t>
      </w:r>
      <w:r w:rsidR="007A2314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sau țiglă în unele zone</w:t>
      </w:r>
      <w:r w:rsidRPr="007918C1">
        <w:rPr>
          <w:rFonts w:ascii="Palatino Linotype" w:eastAsia="Times New Roman" w:hAnsi="Palatino Linotype" w:cs="Times New Roman"/>
          <w:sz w:val="24"/>
          <w:szCs w:val="24"/>
          <w:lang w:eastAsia="ro-RO"/>
        </w:rPr>
        <w:t>, cu diverse destinații, în special spații de depozitare și garaje.</w:t>
      </w:r>
      <w:r w:rsidR="00E76FA7" w:rsidRPr="00E76FA7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</w:t>
      </w:r>
      <w:r w:rsidR="00E76FA7" w:rsidRPr="007918C1">
        <w:rPr>
          <w:rFonts w:ascii="Palatino Linotype" w:eastAsia="Times New Roman" w:hAnsi="Palatino Linotype" w:cs="Times New Roman"/>
          <w:sz w:val="24"/>
          <w:szCs w:val="24"/>
          <w:lang w:eastAsia="ro-RO"/>
        </w:rPr>
        <w:t>Toate aceste clădiri provizorii (anexe)</w:t>
      </w:r>
      <w:r w:rsid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>,</w:t>
      </w:r>
      <w:r w:rsidR="00E76FA7" w:rsidRPr="007918C1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cu regim de înălțime parter, se aflau într-o stare avansată de degradare</w:t>
      </w:r>
      <w:r w:rsid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>,</w:t>
      </w:r>
      <w:r w:rsidR="00E76FA7" w:rsidRPr="00E76FA7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</w:t>
      </w:r>
      <w:r w:rsidR="00E76FA7" w:rsidRPr="007918C1">
        <w:rPr>
          <w:rFonts w:ascii="Palatino Linotype" w:eastAsia="Times New Roman" w:hAnsi="Palatino Linotype" w:cs="Times New Roman"/>
          <w:sz w:val="24"/>
          <w:szCs w:val="24"/>
          <w:lang w:eastAsia="ro-RO"/>
        </w:rPr>
        <w:t>nu mai prezentau siguranță în exploatare</w:t>
      </w:r>
      <w:r w:rsidR="006E666D">
        <w:rPr>
          <w:rFonts w:ascii="Palatino Linotype" w:eastAsia="Times New Roman" w:hAnsi="Palatino Linotype" w:cs="Times New Roman"/>
          <w:sz w:val="24"/>
          <w:szCs w:val="24"/>
          <w:lang w:eastAsia="ro-RO"/>
        </w:rPr>
        <w:t>, fapt menționat și în memoriile tehnice</w:t>
      </w:r>
      <w:r w:rsidR="00FB13F5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întocmite de arh. M. Manta și ing. M. </w:t>
      </w:r>
      <w:proofErr w:type="spellStart"/>
      <w:r w:rsidR="00FB13F5">
        <w:rPr>
          <w:rFonts w:ascii="Palatino Linotype" w:eastAsia="Times New Roman" w:hAnsi="Palatino Linotype" w:cs="Times New Roman"/>
          <w:sz w:val="24"/>
          <w:szCs w:val="24"/>
          <w:lang w:eastAsia="ro-RO"/>
        </w:rPr>
        <w:t>Lambuca</w:t>
      </w:r>
      <w:proofErr w:type="spellEnd"/>
      <w:r w:rsidRPr="007918C1">
        <w:rPr>
          <w:rFonts w:ascii="Palatino Linotype" w:eastAsia="Times New Roman" w:hAnsi="Palatino Linotype" w:cs="Times New Roman"/>
          <w:sz w:val="24"/>
          <w:szCs w:val="24"/>
          <w:lang w:eastAsia="ro-RO"/>
        </w:rPr>
        <w:t>.</w:t>
      </w:r>
      <w:r w:rsidR="00D93A1F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</w:t>
      </w:r>
    </w:p>
    <w:p w:rsidR="001A4074" w:rsidRDefault="00305090" w:rsidP="001A4074">
      <w:pPr>
        <w:autoSpaceDE w:val="0"/>
        <w:autoSpaceDN w:val="0"/>
        <w:adjustRightInd w:val="0"/>
        <w:spacing w:after="0"/>
        <w:ind w:firstLine="708"/>
        <w:jc w:val="both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>ISJ Mehedinți, în anul 2010, pentru a-și desfășura activitatea în imobilul preluat</w:t>
      </w:r>
      <w:r w:rsidR="001A4074">
        <w:rPr>
          <w:rFonts w:ascii="Palatino Linotype" w:hAnsi="Palatino Linotype" w:cs="Times New Roman"/>
          <w:sz w:val="24"/>
          <w:szCs w:val="24"/>
        </w:rPr>
        <w:t xml:space="preserve">, </w:t>
      </w:r>
      <w:r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a consolidat, reabilitat și </w:t>
      </w:r>
      <w:proofErr w:type="spellStart"/>
      <w:r>
        <w:rPr>
          <w:rFonts w:ascii="Palatino Linotype" w:eastAsia="Times New Roman" w:hAnsi="Palatino Linotype" w:cs="Times New Roman"/>
          <w:sz w:val="24"/>
          <w:szCs w:val="24"/>
          <w:lang w:eastAsia="ro-RO"/>
        </w:rPr>
        <w:t>refuncționalizat</w:t>
      </w:r>
      <w:proofErr w:type="spellEnd"/>
      <w:r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clădirea P+2E,  </w:t>
      </w:r>
      <w:r w:rsidR="00167CD2">
        <w:rPr>
          <w:rFonts w:ascii="Palatino Linotype" w:eastAsia="Times New Roman" w:hAnsi="Palatino Linotype" w:cs="Times New Roman"/>
          <w:sz w:val="24"/>
          <w:szCs w:val="24"/>
          <w:lang w:eastAsia="ro-RO"/>
        </w:rPr>
        <w:t>iar</w:t>
      </w:r>
      <w:r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</w:t>
      </w:r>
      <w:r>
        <w:rPr>
          <w:rFonts w:ascii="Palatino Linotype" w:hAnsi="Palatino Linotype" w:cs="Times New Roman"/>
          <w:sz w:val="24"/>
          <w:szCs w:val="24"/>
        </w:rPr>
        <w:t>construcți</w:t>
      </w:r>
      <w:r w:rsidR="00167CD2">
        <w:rPr>
          <w:rFonts w:ascii="Palatino Linotype" w:hAnsi="Palatino Linotype" w:cs="Times New Roman"/>
          <w:sz w:val="24"/>
          <w:szCs w:val="24"/>
        </w:rPr>
        <w:t>a</w:t>
      </w:r>
      <w:r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anexă cu destinația de garaj, cu suprafața construită de 66 mp, a fost consolidată și reabilitată</w:t>
      </w:r>
      <w:r w:rsidR="00167CD2">
        <w:rPr>
          <w:rFonts w:ascii="Palatino Linotype" w:eastAsia="Times New Roman" w:hAnsi="Palatino Linotype" w:cs="Times New Roman"/>
          <w:sz w:val="24"/>
          <w:szCs w:val="24"/>
          <w:lang w:eastAsia="ro-RO"/>
        </w:rPr>
        <w:t>,</w:t>
      </w:r>
      <w:r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fiind utilizată ca arhivă</w:t>
      </w:r>
      <w:r w:rsidR="00167CD2">
        <w:rPr>
          <w:rFonts w:ascii="Palatino Linotype" w:eastAsia="Times New Roman" w:hAnsi="Palatino Linotype" w:cs="Times New Roman"/>
          <w:sz w:val="24"/>
          <w:szCs w:val="24"/>
          <w:lang w:eastAsia="ro-RO"/>
        </w:rPr>
        <w:t>. O</w:t>
      </w:r>
      <w:r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parte din</w:t>
      </w:r>
      <w:r>
        <w:rPr>
          <w:rFonts w:ascii="Palatino Linotype" w:hAnsi="Palatino Linotype" w:cs="Times New Roman"/>
          <w:sz w:val="24"/>
          <w:szCs w:val="24"/>
        </w:rPr>
        <w:t xml:space="preserve"> </w:t>
      </w:r>
      <w:r w:rsidR="001A4074">
        <w:rPr>
          <w:rFonts w:ascii="Palatino Linotype" w:hAnsi="Palatino Linotype" w:cs="Times New Roman"/>
          <w:sz w:val="24"/>
          <w:szCs w:val="24"/>
        </w:rPr>
        <w:t xml:space="preserve">construcțiile anexe, cu destinația de </w:t>
      </w:r>
      <w:r w:rsidR="001A4074" w:rsidRPr="007918C1">
        <w:rPr>
          <w:rFonts w:ascii="Palatino Linotype" w:eastAsia="Times New Roman" w:hAnsi="Palatino Linotype" w:cs="Times New Roman"/>
          <w:sz w:val="24"/>
          <w:szCs w:val="24"/>
          <w:lang w:eastAsia="ro-RO"/>
        </w:rPr>
        <w:t>spații de depozitare și garaje</w:t>
      </w:r>
      <w:r w:rsidR="001A4074">
        <w:rPr>
          <w:rFonts w:ascii="Palatino Linotype" w:hAnsi="Palatino Linotype" w:cs="Times New Roman"/>
          <w:sz w:val="24"/>
          <w:szCs w:val="24"/>
        </w:rPr>
        <w:t>, cu suprafața totală construită de 268 mp</w:t>
      </w:r>
      <w:r w:rsidR="002E5DE4">
        <w:rPr>
          <w:rFonts w:ascii="Palatino Linotype" w:hAnsi="Palatino Linotype" w:cs="Times New Roman"/>
          <w:sz w:val="24"/>
          <w:szCs w:val="24"/>
        </w:rPr>
        <w:t>,</w:t>
      </w:r>
      <w:r w:rsidR="001A4074">
        <w:rPr>
          <w:rFonts w:ascii="Palatino Linotype" w:hAnsi="Palatino Linotype" w:cs="Times New Roman"/>
          <w:sz w:val="24"/>
          <w:szCs w:val="24"/>
        </w:rPr>
        <w:t xml:space="preserve"> au fost </w:t>
      </w:r>
      <w:r w:rsidR="008A44AE">
        <w:rPr>
          <w:rFonts w:ascii="Palatino Linotype" w:hAnsi="Palatino Linotype" w:cs="Times New Roman"/>
          <w:sz w:val="24"/>
          <w:szCs w:val="24"/>
        </w:rPr>
        <w:t xml:space="preserve">parțial </w:t>
      </w:r>
      <w:r w:rsidR="001A4074">
        <w:rPr>
          <w:rFonts w:ascii="Palatino Linotype" w:hAnsi="Palatino Linotype" w:cs="Times New Roman"/>
          <w:sz w:val="24"/>
          <w:szCs w:val="24"/>
        </w:rPr>
        <w:t>dezmembrate</w:t>
      </w:r>
      <w:r w:rsidR="008A44AE">
        <w:rPr>
          <w:rFonts w:ascii="Palatino Linotype" w:hAnsi="Palatino Linotype" w:cs="Times New Roman"/>
          <w:sz w:val="24"/>
          <w:szCs w:val="24"/>
        </w:rPr>
        <w:t>.</w:t>
      </w:r>
      <w:r>
        <w:rPr>
          <w:rFonts w:ascii="Palatino Linotype" w:hAnsi="Palatino Linotype" w:cs="Times New Roman"/>
          <w:sz w:val="24"/>
          <w:szCs w:val="24"/>
        </w:rPr>
        <w:t xml:space="preserve"> </w:t>
      </w:r>
      <w:r w:rsidR="008A44AE">
        <w:rPr>
          <w:rFonts w:ascii="Palatino Linotype" w:hAnsi="Palatino Linotype" w:cs="Times New Roman"/>
          <w:sz w:val="24"/>
          <w:szCs w:val="24"/>
        </w:rPr>
        <w:t>Î</w:t>
      </w:r>
      <w:r>
        <w:rPr>
          <w:rFonts w:ascii="Palatino Linotype" w:hAnsi="Palatino Linotype" w:cs="Times New Roman"/>
          <w:sz w:val="24"/>
          <w:szCs w:val="24"/>
        </w:rPr>
        <w:t xml:space="preserve">ntrucât aceste construcții delimitează incinta, ținând și loc de împrejmuire </w:t>
      </w:r>
      <w:r w:rsidR="002E5DE4">
        <w:rPr>
          <w:rFonts w:ascii="Palatino Linotype" w:hAnsi="Palatino Linotype" w:cs="Times New Roman"/>
          <w:sz w:val="24"/>
          <w:szCs w:val="24"/>
        </w:rPr>
        <w:t xml:space="preserve">a </w:t>
      </w:r>
      <w:r>
        <w:rPr>
          <w:rFonts w:ascii="Palatino Linotype" w:hAnsi="Palatino Linotype" w:cs="Times New Roman"/>
          <w:sz w:val="24"/>
          <w:szCs w:val="24"/>
        </w:rPr>
        <w:t xml:space="preserve">acesteia pe laturile de nord, est și vest, </w:t>
      </w:r>
      <w:r w:rsidR="008A44AE">
        <w:rPr>
          <w:rFonts w:ascii="Palatino Linotype" w:eastAsia="Times New Roman" w:hAnsi="Palatino Linotype" w:cs="Times New Roman"/>
          <w:sz w:val="24"/>
          <w:szCs w:val="24"/>
          <w:lang w:eastAsia="ro-RO"/>
        </w:rPr>
        <w:t>din</w:t>
      </w:r>
      <w:r w:rsidR="008A44AE">
        <w:rPr>
          <w:rFonts w:ascii="Palatino Linotype" w:hAnsi="Palatino Linotype" w:cs="Times New Roman"/>
          <w:sz w:val="24"/>
          <w:szCs w:val="24"/>
        </w:rPr>
        <w:t xml:space="preserve"> construcțiile anexe nu s-a demolat zidul perimetral exterior, care a fost consolidat prin cămășuire cu plasă STNB și turnarea unei centuri din beton armat la partea superioară, pentru a fi folosit drept împrejmuire</w:t>
      </w:r>
      <w:r w:rsidR="001A4074">
        <w:rPr>
          <w:rFonts w:ascii="Palatino Linotype" w:hAnsi="Palatino Linotype" w:cs="Times New Roman"/>
          <w:sz w:val="24"/>
          <w:szCs w:val="24"/>
        </w:rPr>
        <w:t>.</w:t>
      </w:r>
    </w:p>
    <w:p w:rsidR="00186C10" w:rsidRDefault="008F41DA" w:rsidP="00FF0083">
      <w:pPr>
        <w:autoSpaceDE w:val="0"/>
        <w:autoSpaceDN w:val="0"/>
        <w:adjustRightInd w:val="0"/>
        <w:spacing w:after="0"/>
        <w:ind w:firstLine="708"/>
        <w:jc w:val="both"/>
        <w:rPr>
          <w:rFonts w:ascii="Palatino Linotype" w:hAnsi="Palatino Linotype" w:cs="Times New Roman"/>
          <w:sz w:val="24"/>
          <w:szCs w:val="24"/>
        </w:rPr>
      </w:pPr>
      <w:r w:rsidRPr="008F41DA">
        <w:rPr>
          <w:rFonts w:ascii="Palatino Linotype" w:hAnsi="Palatino Linotype" w:cs="Times New Roman"/>
          <w:sz w:val="24"/>
          <w:szCs w:val="24"/>
        </w:rPr>
        <w:t>Drept urmare, pentru acest</w:t>
      </w:r>
      <w:r w:rsidR="005138F5">
        <w:rPr>
          <w:rFonts w:ascii="Palatino Linotype" w:hAnsi="Palatino Linotype" w:cs="Times New Roman"/>
          <w:sz w:val="24"/>
          <w:szCs w:val="24"/>
        </w:rPr>
        <w:t>e clădiri</w:t>
      </w:r>
      <w:r w:rsidRPr="008F41DA">
        <w:rPr>
          <w:rFonts w:ascii="Palatino Linotype" w:hAnsi="Palatino Linotype" w:cs="Times New Roman"/>
          <w:sz w:val="24"/>
          <w:szCs w:val="24"/>
        </w:rPr>
        <w:t xml:space="preserve"> a fost stins uzul și interesul public național și se impune scoaterea din domeniul public al statului a </w:t>
      </w:r>
      <w:r w:rsidR="005138F5">
        <w:rPr>
          <w:rFonts w:ascii="Palatino Linotype" w:hAnsi="Palatino Linotype" w:cs="Times New Roman"/>
          <w:sz w:val="24"/>
          <w:szCs w:val="24"/>
        </w:rPr>
        <w:t xml:space="preserve">unei părți din </w:t>
      </w:r>
      <w:r w:rsidRPr="008F41DA">
        <w:rPr>
          <w:rFonts w:ascii="Palatino Linotype" w:hAnsi="Palatino Linotype" w:cs="Times New Roman"/>
          <w:sz w:val="24"/>
          <w:szCs w:val="24"/>
        </w:rPr>
        <w:t>clădir</w:t>
      </w:r>
      <w:r w:rsidR="005138F5">
        <w:rPr>
          <w:rFonts w:ascii="Palatino Linotype" w:hAnsi="Palatino Linotype" w:cs="Times New Roman"/>
          <w:sz w:val="24"/>
          <w:szCs w:val="24"/>
        </w:rPr>
        <w:t>ea</w:t>
      </w:r>
      <w:r w:rsidRPr="008F41DA">
        <w:rPr>
          <w:rFonts w:ascii="Palatino Linotype" w:hAnsi="Palatino Linotype" w:cs="Times New Roman"/>
          <w:sz w:val="24"/>
          <w:szCs w:val="24"/>
        </w:rPr>
        <w:t xml:space="preserve"> identificată </w:t>
      </w:r>
      <w:r>
        <w:rPr>
          <w:rFonts w:ascii="Palatino Linotype" w:hAnsi="Palatino Linotype" w:cs="Times New Roman"/>
          <w:sz w:val="24"/>
          <w:szCs w:val="24"/>
        </w:rPr>
        <w:t>la</w:t>
      </w:r>
      <w:r w:rsidRPr="008F41DA">
        <w:rPr>
          <w:rFonts w:ascii="Palatino Linotype" w:hAnsi="Palatino Linotype" w:cs="Times New Roman"/>
          <w:sz w:val="24"/>
          <w:szCs w:val="24"/>
        </w:rPr>
        <w:t xml:space="preserve"> nr. MF </w:t>
      </w:r>
      <w:r w:rsidRPr="00186C10">
        <w:rPr>
          <w:rFonts w:ascii="Palatino Linotype" w:hAnsi="Palatino Linotype" w:cs="Times New Roman"/>
          <w:sz w:val="24"/>
          <w:szCs w:val="24"/>
        </w:rPr>
        <w:t>154920</w:t>
      </w:r>
      <w:r w:rsidRPr="008F41DA">
        <w:rPr>
          <w:rFonts w:ascii="Palatino Linotype" w:hAnsi="Palatino Linotype" w:cs="Times New Roman"/>
          <w:sz w:val="24"/>
          <w:szCs w:val="24"/>
        </w:rPr>
        <w:t>, având caracteristicile descrise în anexa nr. 1, ca urmare a pieirii bunului.</w:t>
      </w:r>
    </w:p>
    <w:p w:rsidR="004D4E08" w:rsidRPr="00FD5A89" w:rsidRDefault="00CD61AE" w:rsidP="00225DBA">
      <w:pPr>
        <w:autoSpaceDE w:val="0"/>
        <w:autoSpaceDN w:val="0"/>
        <w:adjustRightInd w:val="0"/>
        <w:spacing w:after="0"/>
        <w:ind w:firstLine="708"/>
        <w:jc w:val="both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>În</w:t>
      </w:r>
      <w:r w:rsidR="004D4E08" w:rsidRPr="00FD5A89">
        <w:rPr>
          <w:rFonts w:ascii="Palatino Linotype" w:hAnsi="Palatino Linotype" w:cs="Times New Roman"/>
          <w:sz w:val="24"/>
          <w:szCs w:val="24"/>
        </w:rPr>
        <w:t xml:space="preserve"> inventarul centralizat al bunurilor din domeniul public al statului, imobilul situat în </w:t>
      </w:r>
      <w:r w:rsidR="004D4E08" w:rsidRPr="00186C10">
        <w:rPr>
          <w:rFonts w:ascii="Palatino Linotype" w:hAnsi="Palatino Linotype" w:cs="Times New Roman"/>
          <w:sz w:val="24"/>
          <w:szCs w:val="24"/>
        </w:rPr>
        <w:t>Municipiul Drobeta-Turnu Severin, str. Decebal nr. 23</w:t>
      </w:r>
      <w:r w:rsidR="004D4E08">
        <w:rPr>
          <w:rFonts w:ascii="Palatino Linotype" w:hAnsi="Palatino Linotype" w:cs="Times New Roman"/>
          <w:sz w:val="24"/>
          <w:szCs w:val="24"/>
        </w:rPr>
        <w:t xml:space="preserve">, </w:t>
      </w:r>
      <w:r w:rsidR="00225DBA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identificat cu nr. MF </w:t>
      </w:r>
      <w:r w:rsidR="00225DBA" w:rsidRPr="00186C10">
        <w:rPr>
          <w:rFonts w:ascii="Palatino Linotype" w:hAnsi="Palatino Linotype" w:cs="Times New Roman"/>
          <w:sz w:val="24"/>
          <w:szCs w:val="24"/>
        </w:rPr>
        <w:t>154920</w:t>
      </w:r>
      <w:r w:rsidR="00225DBA">
        <w:rPr>
          <w:rFonts w:ascii="Palatino Linotype" w:hAnsi="Palatino Linotype" w:cs="Times New Roman"/>
          <w:sz w:val="24"/>
          <w:szCs w:val="24"/>
        </w:rPr>
        <w:t>,</w:t>
      </w:r>
      <w:r w:rsidR="00225DBA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</w:t>
      </w:r>
      <w:r w:rsidR="00167CD2">
        <w:rPr>
          <w:rFonts w:ascii="Palatino Linotype" w:hAnsi="Palatino Linotype" w:cs="Times New Roman"/>
          <w:sz w:val="24"/>
          <w:szCs w:val="24"/>
        </w:rPr>
        <w:t>are</w:t>
      </w:r>
      <w:r w:rsidR="004D4E08">
        <w:rPr>
          <w:rFonts w:ascii="Palatino Linotype" w:hAnsi="Palatino Linotype" w:cs="Times New Roman"/>
          <w:sz w:val="24"/>
          <w:szCs w:val="24"/>
        </w:rPr>
        <w:t xml:space="preserve"> o valoare totală de </w:t>
      </w:r>
      <w:r w:rsidR="00225DBA">
        <w:rPr>
          <w:rFonts w:ascii="Palatino Linotype" w:eastAsia="Times New Roman" w:hAnsi="Palatino Linotype" w:cs="Times New Roman"/>
          <w:sz w:val="24"/>
          <w:szCs w:val="24"/>
          <w:lang w:eastAsia="ro-RO"/>
        </w:rPr>
        <w:t>2</w:t>
      </w:r>
      <w:r w:rsidR="00225DBA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>.</w:t>
      </w:r>
      <w:r w:rsidR="00225DBA">
        <w:rPr>
          <w:rFonts w:ascii="Palatino Linotype" w:eastAsia="Times New Roman" w:hAnsi="Palatino Linotype" w:cs="Times New Roman"/>
          <w:sz w:val="24"/>
          <w:szCs w:val="24"/>
          <w:lang w:eastAsia="ro-RO"/>
        </w:rPr>
        <w:t>485</w:t>
      </w:r>
      <w:r w:rsidR="00225DBA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>.6</w:t>
      </w:r>
      <w:r w:rsidR="00225DBA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23 </w:t>
      </w:r>
      <w:r w:rsidR="004D4E08">
        <w:rPr>
          <w:rFonts w:ascii="Palatino Linotype" w:hAnsi="Palatino Linotype" w:cs="Times New Roman"/>
          <w:sz w:val="24"/>
          <w:szCs w:val="24"/>
        </w:rPr>
        <w:t>lei, conform ultimei reevaluări efectuată în anul 201</w:t>
      </w:r>
      <w:r w:rsidR="00225DBA">
        <w:rPr>
          <w:rFonts w:ascii="Palatino Linotype" w:hAnsi="Palatino Linotype" w:cs="Times New Roman"/>
          <w:sz w:val="24"/>
          <w:szCs w:val="24"/>
        </w:rPr>
        <w:t>5 care a stat la baza HG nr. 577/2016</w:t>
      </w:r>
      <w:r w:rsidR="004D4E08" w:rsidRPr="00FD5A89">
        <w:rPr>
          <w:rFonts w:ascii="Palatino Linotype" w:hAnsi="Palatino Linotype" w:cs="Times New Roman"/>
          <w:sz w:val="24"/>
          <w:szCs w:val="24"/>
        </w:rPr>
        <w:t xml:space="preserve"> </w:t>
      </w:r>
      <w:r w:rsidR="00225DBA" w:rsidRPr="00225DBA">
        <w:rPr>
          <w:rFonts w:ascii="Palatino Linotype" w:hAnsi="Palatino Linotype" w:cs="Times New Roman"/>
          <w:i/>
          <w:sz w:val="24"/>
          <w:szCs w:val="24"/>
        </w:rPr>
        <w:t>privind modificarea anexei nr. 8 la HG nr. 1.705/2006 pentru aprobarea inventarului centralizat al bunurilor din domeniul public al statului</w:t>
      </w:r>
      <w:r w:rsidR="00225DBA">
        <w:rPr>
          <w:rFonts w:ascii="Palatino Linotype" w:hAnsi="Palatino Linotype" w:cs="Times New Roman"/>
          <w:sz w:val="24"/>
          <w:szCs w:val="24"/>
        </w:rPr>
        <w:t>,</w:t>
      </w:r>
      <w:r w:rsidR="00492F16">
        <w:rPr>
          <w:rFonts w:ascii="Palatino Linotype" w:hAnsi="Palatino Linotype" w:cs="Times New Roman"/>
          <w:sz w:val="24"/>
          <w:szCs w:val="24"/>
        </w:rPr>
        <w:t xml:space="preserve"> </w:t>
      </w:r>
      <w:r w:rsidR="004D4E08" w:rsidRPr="00FD5A89">
        <w:rPr>
          <w:rFonts w:ascii="Palatino Linotype" w:hAnsi="Palatino Linotype" w:cs="Times New Roman"/>
          <w:sz w:val="24"/>
          <w:szCs w:val="24"/>
        </w:rPr>
        <w:t>din</w:t>
      </w:r>
      <w:r w:rsidR="004D4E08">
        <w:rPr>
          <w:rFonts w:ascii="Palatino Linotype" w:hAnsi="Palatino Linotype" w:cs="Times New Roman"/>
          <w:sz w:val="24"/>
          <w:szCs w:val="24"/>
        </w:rPr>
        <w:t xml:space="preserve"> care</w:t>
      </w:r>
      <w:r w:rsidR="004D4E08" w:rsidRPr="00FD5A89">
        <w:rPr>
          <w:rFonts w:ascii="Palatino Linotype" w:hAnsi="Palatino Linotype" w:cs="Times New Roman"/>
          <w:sz w:val="24"/>
          <w:szCs w:val="24"/>
        </w:rPr>
        <w:t>:</w:t>
      </w:r>
    </w:p>
    <w:p w:rsidR="004D4E08" w:rsidRDefault="004D4E08" w:rsidP="004D4E08">
      <w:pPr>
        <w:pStyle w:val="NoSpacing"/>
        <w:numPr>
          <w:ilvl w:val="0"/>
          <w:numId w:val="2"/>
        </w:numPr>
        <w:spacing w:line="276" w:lineRule="auto"/>
        <w:jc w:val="both"/>
        <w:rPr>
          <w:rFonts w:ascii="Palatino Linotype" w:hAnsi="Palatino Linotype" w:cs="Times New Roman"/>
          <w:sz w:val="24"/>
          <w:szCs w:val="24"/>
        </w:rPr>
      </w:pPr>
      <w:r w:rsidRPr="009013E2">
        <w:rPr>
          <w:rFonts w:ascii="Palatino Linotype" w:hAnsi="Palatino Linotype" w:cs="Times New Roman"/>
          <w:sz w:val="24"/>
          <w:szCs w:val="24"/>
        </w:rPr>
        <w:t xml:space="preserve">Clădire </w:t>
      </w:r>
      <w:r w:rsidR="00492F16">
        <w:rPr>
          <w:rFonts w:ascii="Palatino Linotype" w:hAnsi="Palatino Linotype" w:cs="Times New Roman"/>
          <w:sz w:val="24"/>
          <w:szCs w:val="24"/>
        </w:rPr>
        <w:t>– sediu ISJ Mehedinți</w:t>
      </w:r>
      <w:r>
        <w:rPr>
          <w:rFonts w:ascii="Palatino Linotype" w:hAnsi="Palatino Linotype" w:cs="Times New Roman"/>
          <w:sz w:val="24"/>
          <w:szCs w:val="24"/>
        </w:rPr>
        <w:t xml:space="preserve"> </w:t>
      </w:r>
      <w:r w:rsidR="00492F16">
        <w:rPr>
          <w:rFonts w:ascii="Palatino Linotype" w:hAnsi="Palatino Linotype" w:cs="Times New Roman"/>
          <w:sz w:val="24"/>
          <w:szCs w:val="24"/>
        </w:rPr>
        <w:t>cu</w:t>
      </w:r>
      <w:r w:rsidRPr="009013E2">
        <w:rPr>
          <w:rFonts w:ascii="Palatino Linotype" w:hAnsi="Palatino Linotype" w:cs="Times New Roman"/>
          <w:sz w:val="24"/>
          <w:szCs w:val="24"/>
        </w:rPr>
        <w:t xml:space="preserve"> valoarea de inventar de </w:t>
      </w:r>
      <w:r w:rsidR="00492F16" w:rsidRPr="00492F16">
        <w:rPr>
          <w:rFonts w:ascii="Palatino Linotype" w:hAnsi="Palatino Linotype" w:cs="Times New Roman"/>
          <w:sz w:val="24"/>
          <w:szCs w:val="24"/>
        </w:rPr>
        <w:t>2.403</w:t>
      </w:r>
      <w:r w:rsidRPr="00492F16">
        <w:rPr>
          <w:rFonts w:ascii="Palatino Linotype" w:hAnsi="Palatino Linotype" w:cs="Times New Roman"/>
          <w:sz w:val="24"/>
          <w:szCs w:val="24"/>
        </w:rPr>
        <w:t>.</w:t>
      </w:r>
      <w:r w:rsidR="00492F16" w:rsidRPr="00492F16">
        <w:rPr>
          <w:rFonts w:ascii="Palatino Linotype" w:hAnsi="Palatino Linotype" w:cs="Times New Roman"/>
          <w:sz w:val="24"/>
          <w:szCs w:val="24"/>
        </w:rPr>
        <w:t>097</w:t>
      </w:r>
      <w:r w:rsidR="00492F16">
        <w:rPr>
          <w:rFonts w:ascii="Palatino Linotype" w:hAnsi="Palatino Linotype" w:cs="Times New Roman"/>
          <w:sz w:val="24"/>
          <w:szCs w:val="24"/>
        </w:rPr>
        <w:t xml:space="preserve"> </w:t>
      </w:r>
      <w:r>
        <w:rPr>
          <w:rFonts w:ascii="Palatino Linotype" w:hAnsi="Palatino Linotype" w:cs="Times New Roman"/>
          <w:sz w:val="24"/>
          <w:szCs w:val="24"/>
        </w:rPr>
        <w:t>lei</w:t>
      </w:r>
      <w:r w:rsidRPr="009013E2">
        <w:rPr>
          <w:rFonts w:ascii="Palatino Linotype" w:hAnsi="Palatino Linotype" w:cs="Times New Roman"/>
          <w:sz w:val="24"/>
          <w:szCs w:val="24"/>
        </w:rPr>
        <w:t>;</w:t>
      </w:r>
    </w:p>
    <w:p w:rsidR="004D4E08" w:rsidRPr="00492F16" w:rsidRDefault="004D4E08" w:rsidP="00492F16">
      <w:pPr>
        <w:pStyle w:val="NoSpacing"/>
        <w:numPr>
          <w:ilvl w:val="0"/>
          <w:numId w:val="2"/>
        </w:numPr>
        <w:spacing w:line="276" w:lineRule="auto"/>
        <w:jc w:val="both"/>
        <w:rPr>
          <w:rFonts w:ascii="Palatino Linotype" w:hAnsi="Palatino Linotype" w:cs="Times New Roman"/>
          <w:sz w:val="24"/>
          <w:szCs w:val="24"/>
        </w:rPr>
      </w:pPr>
      <w:r w:rsidRPr="009013E2">
        <w:rPr>
          <w:rFonts w:ascii="Palatino Linotype" w:hAnsi="Palatino Linotype" w:cs="Times New Roman"/>
          <w:sz w:val="24"/>
          <w:szCs w:val="24"/>
        </w:rPr>
        <w:t xml:space="preserve">Clădire </w:t>
      </w:r>
      <w:r w:rsidR="00492F16">
        <w:rPr>
          <w:rFonts w:ascii="Palatino Linotype" w:hAnsi="Palatino Linotype" w:cs="Times New Roman"/>
          <w:sz w:val="24"/>
          <w:szCs w:val="24"/>
        </w:rPr>
        <w:t>– arhivă cu</w:t>
      </w:r>
      <w:r w:rsidRPr="009013E2">
        <w:rPr>
          <w:rFonts w:ascii="Palatino Linotype" w:hAnsi="Palatino Linotype" w:cs="Times New Roman"/>
          <w:sz w:val="24"/>
          <w:szCs w:val="24"/>
        </w:rPr>
        <w:t xml:space="preserve"> valoarea de inventar </w:t>
      </w:r>
      <w:r w:rsidRPr="00492F16">
        <w:rPr>
          <w:rFonts w:ascii="Palatino Linotype" w:hAnsi="Palatino Linotype" w:cs="Times New Roman"/>
          <w:sz w:val="24"/>
          <w:szCs w:val="24"/>
        </w:rPr>
        <w:t xml:space="preserve">de </w:t>
      </w:r>
      <w:r w:rsidR="00492F16" w:rsidRPr="00492F16">
        <w:rPr>
          <w:rFonts w:ascii="Palatino Linotype" w:hAnsi="Palatino Linotype" w:cs="Times New Roman"/>
          <w:sz w:val="24"/>
          <w:szCs w:val="24"/>
        </w:rPr>
        <w:t>82</w:t>
      </w:r>
      <w:r w:rsidRPr="00492F16">
        <w:rPr>
          <w:rFonts w:ascii="Palatino Linotype" w:hAnsi="Palatino Linotype" w:cs="Times New Roman"/>
          <w:sz w:val="24"/>
          <w:szCs w:val="24"/>
        </w:rPr>
        <w:t>.5</w:t>
      </w:r>
      <w:r w:rsidR="00492F16" w:rsidRPr="00492F16">
        <w:rPr>
          <w:rFonts w:ascii="Palatino Linotype" w:hAnsi="Palatino Linotype" w:cs="Times New Roman"/>
          <w:sz w:val="24"/>
          <w:szCs w:val="24"/>
        </w:rPr>
        <w:t>26</w:t>
      </w:r>
      <w:r>
        <w:rPr>
          <w:rFonts w:ascii="Palatino Linotype" w:hAnsi="Palatino Linotype" w:cs="Times New Roman"/>
          <w:sz w:val="24"/>
          <w:szCs w:val="24"/>
        </w:rPr>
        <w:t xml:space="preserve"> lei</w:t>
      </w:r>
      <w:r w:rsidRPr="00492F16">
        <w:rPr>
          <w:rFonts w:ascii="Palatino Linotype" w:hAnsi="Palatino Linotype" w:cs="Times New Roman"/>
          <w:sz w:val="24"/>
          <w:szCs w:val="24"/>
        </w:rPr>
        <w:t>.</w:t>
      </w:r>
    </w:p>
    <w:p w:rsidR="00196560" w:rsidRPr="00196560" w:rsidRDefault="00CD61AE" w:rsidP="00196560">
      <w:pPr>
        <w:spacing w:after="0"/>
        <w:ind w:firstLine="708"/>
        <w:jc w:val="both"/>
        <w:rPr>
          <w:rFonts w:ascii="Palatino Linotype" w:eastAsia="Times New Roman" w:hAnsi="Palatino Linotype" w:cs="Times New Roman"/>
          <w:sz w:val="24"/>
          <w:szCs w:val="24"/>
          <w:lang w:eastAsia="ro-RO"/>
        </w:rPr>
      </w:pPr>
      <w:r>
        <w:rPr>
          <w:rFonts w:ascii="Palatino Linotype" w:hAnsi="Palatino Linotype" w:cs="Times New Roman"/>
          <w:sz w:val="24"/>
          <w:szCs w:val="24"/>
        </w:rPr>
        <w:t>În</w:t>
      </w:r>
      <w:r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</w:t>
      </w:r>
      <w:r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anul 2016 au fost realizate lucrări investiționale la sediul </w:t>
      </w:r>
      <w:r>
        <w:rPr>
          <w:rFonts w:ascii="Palatino Linotype" w:hAnsi="Palatino Linotype" w:cs="Times New Roman"/>
          <w:sz w:val="24"/>
          <w:szCs w:val="24"/>
        </w:rPr>
        <w:t>ISJ Mehedinți,</w:t>
      </w:r>
      <w:r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</w:t>
      </w:r>
      <w:r>
        <w:rPr>
          <w:rFonts w:ascii="Palatino Linotype" w:eastAsia="Times New Roman" w:hAnsi="Palatino Linotype" w:cs="Times New Roman"/>
          <w:sz w:val="24"/>
          <w:szCs w:val="24"/>
          <w:lang w:eastAsia="ro-RO"/>
        </w:rPr>
        <w:t>conform</w:t>
      </w:r>
      <w:r w:rsidR="00196560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Procesul</w:t>
      </w:r>
      <w:r>
        <w:rPr>
          <w:rFonts w:ascii="Palatino Linotype" w:eastAsia="Times New Roman" w:hAnsi="Palatino Linotype" w:cs="Times New Roman"/>
          <w:sz w:val="24"/>
          <w:szCs w:val="24"/>
          <w:lang w:eastAsia="ro-RO"/>
        </w:rPr>
        <w:t>ui</w:t>
      </w:r>
      <w:r w:rsidR="00196560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>-verbal de recepție la terminarea lucrărilor nr. 1</w:t>
      </w:r>
      <w:r w:rsid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>3521</w:t>
      </w:r>
      <w:r w:rsidR="00196560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>/2</w:t>
      </w:r>
      <w:r w:rsid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>8</w:t>
      </w:r>
      <w:r w:rsidR="00196560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>.1</w:t>
      </w:r>
      <w:r w:rsid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>2</w:t>
      </w:r>
      <w:r w:rsidR="00196560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.2016, imobilul identificat cu nr. MF </w:t>
      </w:r>
      <w:r w:rsidR="00196560" w:rsidRPr="00186C10">
        <w:rPr>
          <w:rFonts w:ascii="Palatino Linotype" w:hAnsi="Palatino Linotype" w:cs="Times New Roman"/>
          <w:sz w:val="24"/>
          <w:szCs w:val="24"/>
        </w:rPr>
        <w:t>154920</w:t>
      </w:r>
      <w:r w:rsidR="00196560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</w:t>
      </w:r>
      <w:r w:rsidR="004A3416">
        <w:rPr>
          <w:rFonts w:ascii="Palatino Linotype" w:hAnsi="Palatino Linotype" w:cs="Times New Roman"/>
          <w:sz w:val="24"/>
          <w:szCs w:val="24"/>
        </w:rPr>
        <w:t xml:space="preserve">și </w:t>
      </w:r>
      <w:r w:rsidR="004A3416" w:rsidRPr="0083792D">
        <w:rPr>
          <w:rFonts w:ascii="Palatino Linotype" w:hAnsi="Palatino Linotype" w:cs="Times New Roman"/>
          <w:sz w:val="24"/>
          <w:szCs w:val="24"/>
        </w:rPr>
        <w:t xml:space="preserve">MF </w:t>
      </w:r>
      <w:r w:rsidR="004A3416">
        <w:rPr>
          <w:rFonts w:ascii="Palatino Linotype" w:hAnsi="Palatino Linotype" w:cs="Times New Roman"/>
          <w:sz w:val="24"/>
          <w:szCs w:val="24"/>
        </w:rPr>
        <w:t xml:space="preserve">154921 </w:t>
      </w:r>
      <w:r w:rsidR="00196560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>își modifică valoarea din inventarul centralizat al bunurilor din domeniul public al statului</w:t>
      </w:r>
      <w:r>
        <w:rPr>
          <w:rFonts w:ascii="Palatino Linotype" w:eastAsia="Times New Roman" w:hAnsi="Palatino Linotype" w:cs="Times New Roman"/>
          <w:sz w:val="24"/>
          <w:szCs w:val="24"/>
          <w:lang w:eastAsia="ro-RO"/>
        </w:rPr>
        <w:t>,</w:t>
      </w:r>
      <w:r w:rsidR="00196560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ca urmare a finalizării lucrărilor de „Re</w:t>
      </w:r>
      <w:r w:rsid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>abilitare ISJ – reamenajare spații pentru persoane cu dizabilități</w:t>
      </w:r>
      <w:r w:rsidR="00196560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”. În urma acestor lucrări executate </w:t>
      </w:r>
      <w:r w:rsidR="004A3416">
        <w:rPr>
          <w:rFonts w:ascii="Palatino Linotype" w:eastAsia="Times New Roman" w:hAnsi="Palatino Linotype" w:cs="Times New Roman"/>
          <w:sz w:val="24"/>
          <w:szCs w:val="24"/>
          <w:lang w:eastAsia="ro-RO"/>
        </w:rPr>
        <w:t>conform</w:t>
      </w:r>
      <w:r w:rsidR="00196560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procesul</w:t>
      </w:r>
      <w:r w:rsidR="004A3416">
        <w:rPr>
          <w:rFonts w:ascii="Palatino Linotype" w:eastAsia="Times New Roman" w:hAnsi="Palatino Linotype" w:cs="Times New Roman"/>
          <w:sz w:val="24"/>
          <w:szCs w:val="24"/>
          <w:lang w:eastAsia="ro-RO"/>
        </w:rPr>
        <w:t>ui</w:t>
      </w:r>
      <w:r w:rsidR="00196560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verbal sus-menționat, la valoarea </w:t>
      </w:r>
      <w:r w:rsidR="00492F16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totală a </w:t>
      </w:r>
      <w:r w:rsidR="00196560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>clădiri</w:t>
      </w:r>
      <w:r w:rsidR="00492F16">
        <w:rPr>
          <w:rFonts w:ascii="Palatino Linotype" w:eastAsia="Times New Roman" w:hAnsi="Palatino Linotype" w:cs="Times New Roman"/>
          <w:sz w:val="24"/>
          <w:szCs w:val="24"/>
          <w:lang w:eastAsia="ro-RO"/>
        </w:rPr>
        <w:t>lor</w:t>
      </w:r>
      <w:r w:rsidR="00196560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de </w:t>
      </w:r>
      <w:r w:rsidR="004A3416">
        <w:rPr>
          <w:rFonts w:ascii="Palatino Linotype" w:eastAsia="Times New Roman" w:hAnsi="Palatino Linotype" w:cs="Times New Roman"/>
          <w:sz w:val="24"/>
          <w:szCs w:val="24"/>
          <w:lang w:eastAsia="ro-RO"/>
        </w:rPr>
        <w:t>2</w:t>
      </w:r>
      <w:r w:rsidR="00196560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>.</w:t>
      </w:r>
      <w:r w:rsidR="004A3416">
        <w:rPr>
          <w:rFonts w:ascii="Palatino Linotype" w:eastAsia="Times New Roman" w:hAnsi="Palatino Linotype" w:cs="Times New Roman"/>
          <w:sz w:val="24"/>
          <w:szCs w:val="24"/>
          <w:lang w:eastAsia="ro-RO"/>
        </w:rPr>
        <w:t>485</w:t>
      </w:r>
      <w:r w:rsidR="00196560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>.6</w:t>
      </w:r>
      <w:r w:rsidR="004A3416">
        <w:rPr>
          <w:rFonts w:ascii="Palatino Linotype" w:eastAsia="Times New Roman" w:hAnsi="Palatino Linotype" w:cs="Times New Roman"/>
          <w:sz w:val="24"/>
          <w:szCs w:val="24"/>
          <w:lang w:eastAsia="ro-RO"/>
        </w:rPr>
        <w:t>23</w:t>
      </w:r>
      <w:r w:rsidR="00196560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lei se adaugă valoarea investițiilor realizate în sumă de 6</w:t>
      </w:r>
      <w:r w:rsidR="004A3416">
        <w:rPr>
          <w:rFonts w:ascii="Palatino Linotype" w:eastAsia="Times New Roman" w:hAnsi="Palatino Linotype" w:cs="Times New Roman"/>
          <w:sz w:val="24"/>
          <w:szCs w:val="24"/>
          <w:lang w:eastAsia="ro-RO"/>
        </w:rPr>
        <w:t>3</w:t>
      </w:r>
      <w:r w:rsidR="00196560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>.</w:t>
      </w:r>
      <w:r w:rsidR="004A3416">
        <w:rPr>
          <w:rFonts w:ascii="Palatino Linotype" w:eastAsia="Times New Roman" w:hAnsi="Palatino Linotype" w:cs="Times New Roman"/>
          <w:sz w:val="24"/>
          <w:szCs w:val="24"/>
          <w:lang w:eastAsia="ro-RO"/>
        </w:rPr>
        <w:t>323</w:t>
      </w:r>
      <w:r w:rsidR="00196560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lei, astfel că, valoarea clădirii devine </w:t>
      </w:r>
      <w:r w:rsidR="004A3416">
        <w:rPr>
          <w:rFonts w:ascii="Palatino Linotype" w:eastAsia="Times New Roman" w:hAnsi="Palatino Linotype" w:cs="Times New Roman"/>
          <w:sz w:val="24"/>
          <w:szCs w:val="24"/>
          <w:lang w:eastAsia="ro-RO"/>
        </w:rPr>
        <w:t>2</w:t>
      </w:r>
      <w:r w:rsidR="00196560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>.</w:t>
      </w:r>
      <w:r w:rsidR="004A3416">
        <w:rPr>
          <w:rFonts w:ascii="Palatino Linotype" w:eastAsia="Times New Roman" w:hAnsi="Palatino Linotype" w:cs="Times New Roman"/>
          <w:sz w:val="24"/>
          <w:szCs w:val="24"/>
          <w:lang w:eastAsia="ro-RO"/>
        </w:rPr>
        <w:t>5</w:t>
      </w:r>
      <w:r w:rsidR="00196560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>4</w:t>
      </w:r>
      <w:r w:rsidR="004A3416">
        <w:rPr>
          <w:rFonts w:ascii="Palatino Linotype" w:eastAsia="Times New Roman" w:hAnsi="Palatino Linotype" w:cs="Times New Roman"/>
          <w:sz w:val="24"/>
          <w:szCs w:val="24"/>
          <w:lang w:eastAsia="ro-RO"/>
        </w:rPr>
        <w:t>8</w:t>
      </w:r>
      <w:r w:rsidR="00196560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>.9</w:t>
      </w:r>
      <w:r w:rsidR="004A3416">
        <w:rPr>
          <w:rFonts w:ascii="Palatino Linotype" w:eastAsia="Times New Roman" w:hAnsi="Palatino Linotype" w:cs="Times New Roman"/>
          <w:sz w:val="24"/>
          <w:szCs w:val="24"/>
          <w:lang w:eastAsia="ro-RO"/>
        </w:rPr>
        <w:t>4</w:t>
      </w:r>
      <w:r w:rsidR="00196560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>6 lei</w:t>
      </w:r>
      <w:r w:rsidR="004A3416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, iar </w:t>
      </w:r>
      <w:r w:rsidR="004A3416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la valoarea </w:t>
      </w:r>
      <w:r w:rsidR="004A3416">
        <w:rPr>
          <w:rFonts w:ascii="Palatino Linotype" w:eastAsia="Times New Roman" w:hAnsi="Palatino Linotype" w:cs="Times New Roman"/>
          <w:sz w:val="24"/>
          <w:szCs w:val="24"/>
          <w:lang w:eastAsia="ro-RO"/>
        </w:rPr>
        <w:t>terenului</w:t>
      </w:r>
      <w:r w:rsidR="004A3416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de </w:t>
      </w:r>
      <w:r w:rsidR="004A3416">
        <w:rPr>
          <w:rFonts w:ascii="Palatino Linotype" w:eastAsia="Times New Roman" w:hAnsi="Palatino Linotype" w:cs="Times New Roman"/>
          <w:sz w:val="24"/>
          <w:szCs w:val="24"/>
          <w:lang w:eastAsia="ro-RO"/>
        </w:rPr>
        <w:t>717</w:t>
      </w:r>
      <w:r w:rsidR="004A3416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>.</w:t>
      </w:r>
      <w:r w:rsidR="004A3416">
        <w:rPr>
          <w:rFonts w:ascii="Palatino Linotype" w:eastAsia="Times New Roman" w:hAnsi="Palatino Linotype" w:cs="Times New Roman"/>
          <w:sz w:val="24"/>
          <w:szCs w:val="24"/>
          <w:lang w:eastAsia="ro-RO"/>
        </w:rPr>
        <w:t>3</w:t>
      </w:r>
      <w:r w:rsidR="004A3416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>6</w:t>
      </w:r>
      <w:r w:rsidR="004A3416">
        <w:rPr>
          <w:rFonts w:ascii="Palatino Linotype" w:eastAsia="Times New Roman" w:hAnsi="Palatino Linotype" w:cs="Times New Roman"/>
          <w:sz w:val="24"/>
          <w:szCs w:val="24"/>
          <w:lang w:eastAsia="ro-RO"/>
        </w:rPr>
        <w:t>2</w:t>
      </w:r>
      <w:r w:rsidR="004A3416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lei se adaugă valoarea investițiilor realizate în sumă de 6</w:t>
      </w:r>
      <w:r w:rsidR="004A3416">
        <w:rPr>
          <w:rFonts w:ascii="Palatino Linotype" w:eastAsia="Times New Roman" w:hAnsi="Palatino Linotype" w:cs="Times New Roman"/>
          <w:sz w:val="24"/>
          <w:szCs w:val="24"/>
          <w:lang w:eastAsia="ro-RO"/>
        </w:rPr>
        <w:t>2</w:t>
      </w:r>
      <w:r w:rsidR="004A3416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>.</w:t>
      </w:r>
      <w:r w:rsidR="004A3416">
        <w:rPr>
          <w:rFonts w:ascii="Palatino Linotype" w:eastAsia="Times New Roman" w:hAnsi="Palatino Linotype" w:cs="Times New Roman"/>
          <w:sz w:val="24"/>
          <w:szCs w:val="24"/>
          <w:lang w:eastAsia="ro-RO"/>
        </w:rPr>
        <w:t>409</w:t>
      </w:r>
      <w:r w:rsidR="004A3416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lei, astfel că, valoarea </w:t>
      </w:r>
      <w:r w:rsidR="004A3416">
        <w:rPr>
          <w:rFonts w:ascii="Palatino Linotype" w:eastAsia="Times New Roman" w:hAnsi="Palatino Linotype" w:cs="Times New Roman"/>
          <w:sz w:val="24"/>
          <w:szCs w:val="24"/>
          <w:lang w:eastAsia="ro-RO"/>
        </w:rPr>
        <w:t>terenului</w:t>
      </w:r>
      <w:r w:rsidR="004A3416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devine </w:t>
      </w:r>
      <w:r w:rsidR="004A3416">
        <w:rPr>
          <w:rFonts w:ascii="Palatino Linotype" w:eastAsia="Times New Roman" w:hAnsi="Palatino Linotype" w:cs="Times New Roman"/>
          <w:sz w:val="24"/>
          <w:szCs w:val="24"/>
          <w:lang w:eastAsia="ro-RO"/>
        </w:rPr>
        <w:t>779</w:t>
      </w:r>
      <w:r w:rsidR="004A3416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>.</w:t>
      </w:r>
      <w:r w:rsidR="004A3416">
        <w:rPr>
          <w:rFonts w:ascii="Palatino Linotype" w:eastAsia="Times New Roman" w:hAnsi="Palatino Linotype" w:cs="Times New Roman"/>
          <w:sz w:val="24"/>
          <w:szCs w:val="24"/>
          <w:lang w:eastAsia="ro-RO"/>
        </w:rPr>
        <w:t>771</w:t>
      </w:r>
      <w:r w:rsidR="004A3416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 xml:space="preserve"> lei</w:t>
      </w:r>
      <w:r w:rsidR="00196560" w:rsidRPr="00196560">
        <w:rPr>
          <w:rFonts w:ascii="Palatino Linotype" w:eastAsia="Times New Roman" w:hAnsi="Palatino Linotype" w:cs="Times New Roman"/>
          <w:sz w:val="24"/>
          <w:szCs w:val="24"/>
          <w:lang w:eastAsia="ro-RO"/>
        </w:rPr>
        <w:t>.</w:t>
      </w:r>
    </w:p>
    <w:p w:rsidR="00167CD2" w:rsidRDefault="002E5DE4" w:rsidP="00167CD2">
      <w:pPr>
        <w:pStyle w:val="NoSpacing"/>
        <w:ind w:firstLine="708"/>
        <w:jc w:val="both"/>
        <w:rPr>
          <w:rFonts w:ascii="Palatino Linotype" w:hAnsi="Palatino Linotype"/>
          <w:sz w:val="24"/>
          <w:szCs w:val="24"/>
        </w:rPr>
      </w:pPr>
      <w:r w:rsidRPr="00167CD2">
        <w:rPr>
          <w:rFonts w:ascii="Palatino Linotype" w:eastAsia="Times New Roman" w:hAnsi="Palatino Linotype" w:cs="Times New Roman"/>
          <w:sz w:val="24"/>
          <w:szCs w:val="24"/>
          <w:lang w:eastAsia="ro-RO"/>
        </w:rPr>
        <w:t>Necesitatea, oportunitatea și realitatea datelor prezentate în proiectul de act normativ reies din documentele existente la nivelul Ministerului Educației Naționale</w:t>
      </w:r>
      <w:r w:rsidR="00167CD2" w:rsidRPr="009013E2">
        <w:rPr>
          <w:rFonts w:ascii="Palatino Linotype" w:hAnsi="Palatino Linotype"/>
          <w:sz w:val="24"/>
          <w:szCs w:val="24"/>
        </w:rPr>
        <w:t>.</w:t>
      </w:r>
    </w:p>
    <w:p w:rsidR="00187483" w:rsidRDefault="00187483" w:rsidP="00167CD2">
      <w:pPr>
        <w:pStyle w:val="NoSpacing"/>
        <w:ind w:firstLine="708"/>
        <w:jc w:val="both"/>
        <w:rPr>
          <w:rFonts w:ascii="Palatino Linotype" w:hAnsi="Palatino Linotype"/>
          <w:sz w:val="24"/>
          <w:szCs w:val="24"/>
        </w:rPr>
      </w:pPr>
    </w:p>
    <w:p w:rsidR="009A6AE1" w:rsidRPr="009013E2" w:rsidRDefault="00714AEB" w:rsidP="009013E2">
      <w:pPr>
        <w:pStyle w:val="NoSpacing"/>
        <w:spacing w:line="276" w:lineRule="auto"/>
        <w:ind w:firstLine="708"/>
        <w:jc w:val="both"/>
        <w:rPr>
          <w:rFonts w:ascii="Palatino Linotype" w:hAnsi="Palatino Linotype" w:cs="Times New Roman"/>
          <w:sz w:val="24"/>
          <w:szCs w:val="24"/>
        </w:rPr>
      </w:pPr>
      <w:r w:rsidRPr="009013E2">
        <w:rPr>
          <w:rFonts w:ascii="Palatino Linotype" w:hAnsi="Palatino Linotype" w:cs="Times New Roman"/>
          <w:sz w:val="24"/>
          <w:szCs w:val="24"/>
        </w:rPr>
        <w:lastRenderedPageBreak/>
        <w:t>Imobilu</w:t>
      </w:r>
      <w:r w:rsidR="009A6AE1" w:rsidRPr="009013E2">
        <w:rPr>
          <w:rFonts w:ascii="Palatino Linotype" w:hAnsi="Palatino Linotype" w:cs="Times New Roman"/>
          <w:sz w:val="24"/>
          <w:szCs w:val="24"/>
        </w:rPr>
        <w:t>l care fac</w:t>
      </w:r>
      <w:r w:rsidRPr="009013E2">
        <w:rPr>
          <w:rFonts w:ascii="Palatino Linotype" w:hAnsi="Palatino Linotype" w:cs="Times New Roman"/>
          <w:sz w:val="24"/>
          <w:szCs w:val="24"/>
        </w:rPr>
        <w:t>e</w:t>
      </w:r>
      <w:r w:rsidR="009A6AE1" w:rsidRPr="009013E2">
        <w:rPr>
          <w:rFonts w:ascii="Palatino Linotype" w:hAnsi="Palatino Linotype" w:cs="Times New Roman"/>
          <w:sz w:val="24"/>
          <w:szCs w:val="24"/>
        </w:rPr>
        <w:t xml:space="preserve"> obiectul prezentului act normativ nu </w:t>
      </w:r>
      <w:r w:rsidRPr="009013E2">
        <w:rPr>
          <w:rFonts w:ascii="Palatino Linotype" w:hAnsi="Palatino Linotype" w:cs="Times New Roman"/>
          <w:sz w:val="24"/>
          <w:szCs w:val="24"/>
        </w:rPr>
        <w:t>este</w:t>
      </w:r>
      <w:r w:rsidR="009A6AE1" w:rsidRPr="009013E2">
        <w:rPr>
          <w:rFonts w:ascii="Palatino Linotype" w:hAnsi="Palatino Linotype" w:cs="Times New Roman"/>
          <w:sz w:val="24"/>
          <w:szCs w:val="24"/>
        </w:rPr>
        <w:t xml:space="preserve"> grevat de sarcini, nu fac</w:t>
      </w:r>
      <w:r w:rsidRPr="009013E2">
        <w:rPr>
          <w:rFonts w:ascii="Palatino Linotype" w:hAnsi="Palatino Linotype" w:cs="Times New Roman"/>
          <w:sz w:val="24"/>
          <w:szCs w:val="24"/>
        </w:rPr>
        <w:t>e</w:t>
      </w:r>
      <w:r w:rsidR="009A6AE1" w:rsidRPr="009013E2">
        <w:rPr>
          <w:rFonts w:ascii="Palatino Linotype" w:hAnsi="Palatino Linotype" w:cs="Times New Roman"/>
          <w:sz w:val="24"/>
          <w:szCs w:val="24"/>
        </w:rPr>
        <w:t xml:space="preserve"> obiectul unor cereri de revendicare/restituire și nu se află în litigii pe rolul instanțelor judecătorești, așa cum rezultă și din extras</w:t>
      </w:r>
      <w:r w:rsidRPr="009013E2">
        <w:rPr>
          <w:rFonts w:ascii="Palatino Linotype" w:hAnsi="Palatino Linotype" w:cs="Times New Roman"/>
          <w:sz w:val="24"/>
          <w:szCs w:val="24"/>
        </w:rPr>
        <w:t>u</w:t>
      </w:r>
      <w:r w:rsidR="009A6AE1" w:rsidRPr="009013E2">
        <w:rPr>
          <w:rFonts w:ascii="Palatino Linotype" w:hAnsi="Palatino Linotype" w:cs="Times New Roman"/>
          <w:sz w:val="24"/>
          <w:szCs w:val="24"/>
        </w:rPr>
        <w:t>l de carte funciară anexat, care în Partea a III</w:t>
      </w:r>
      <w:r w:rsidR="004E2733" w:rsidRPr="009013E2">
        <w:rPr>
          <w:rFonts w:ascii="Palatino Linotype" w:hAnsi="Palatino Linotype" w:cs="Times New Roman"/>
          <w:sz w:val="24"/>
          <w:szCs w:val="24"/>
        </w:rPr>
        <w:t>-</w:t>
      </w:r>
      <w:r w:rsidR="009A6AE1" w:rsidRPr="009013E2">
        <w:rPr>
          <w:rFonts w:ascii="Palatino Linotype" w:hAnsi="Palatino Linotype" w:cs="Times New Roman"/>
          <w:sz w:val="24"/>
          <w:szCs w:val="24"/>
        </w:rPr>
        <w:t xml:space="preserve"> a nu conțin</w:t>
      </w:r>
      <w:r w:rsidRPr="009013E2">
        <w:rPr>
          <w:rFonts w:ascii="Palatino Linotype" w:hAnsi="Palatino Linotype" w:cs="Times New Roman"/>
          <w:sz w:val="24"/>
          <w:szCs w:val="24"/>
        </w:rPr>
        <w:t>e</w:t>
      </w:r>
      <w:r w:rsidR="009A6AE1" w:rsidRPr="009013E2">
        <w:rPr>
          <w:rFonts w:ascii="Palatino Linotype" w:hAnsi="Palatino Linotype" w:cs="Times New Roman"/>
          <w:sz w:val="24"/>
          <w:szCs w:val="24"/>
        </w:rPr>
        <w:t xml:space="preserve"> nicio mențiune în acest sens.</w:t>
      </w:r>
    </w:p>
    <w:p w:rsidR="00714AEB" w:rsidRPr="009013E2" w:rsidRDefault="00FD3FC5" w:rsidP="002E5DE4">
      <w:pPr>
        <w:spacing w:after="0"/>
        <w:jc w:val="both"/>
        <w:rPr>
          <w:rFonts w:ascii="Palatino Linotype" w:hAnsi="Palatino Linotype"/>
          <w:sz w:val="24"/>
          <w:szCs w:val="24"/>
        </w:rPr>
      </w:pPr>
      <w:r w:rsidRPr="009013E2">
        <w:rPr>
          <w:rFonts w:ascii="Palatino Linotype" w:hAnsi="Palatino Linotype" w:cs="Times New Roman"/>
          <w:sz w:val="24"/>
          <w:szCs w:val="24"/>
        </w:rPr>
        <w:tab/>
      </w:r>
      <w:r w:rsidR="00714AEB" w:rsidRPr="009013E2">
        <w:rPr>
          <w:rFonts w:ascii="Palatino Linotype" w:hAnsi="Palatino Linotype"/>
          <w:sz w:val="24"/>
          <w:szCs w:val="24"/>
        </w:rPr>
        <w:t>Actul normativ astfel inițiat nu prezintă impact asupra domeniilor social, economic și de mediu, asupra bugetului general consolidat sau asupra legislației în vigoare, potrivit prevederilor art. 2 alin. (2) din Hotărârea Guvernului nr. 1361/2006 privind conținutul instrumentului de prezentare și motivare a proiectelor de acte normative supuse aprobării Guvernului, cu modificările și completările ulterioare.</w:t>
      </w:r>
    </w:p>
    <w:p w:rsidR="00714AEB" w:rsidRPr="009013E2" w:rsidRDefault="00714AEB" w:rsidP="009013E2">
      <w:pPr>
        <w:spacing w:after="0"/>
        <w:ind w:firstLine="708"/>
        <w:jc w:val="both"/>
        <w:rPr>
          <w:rFonts w:ascii="Palatino Linotype" w:hAnsi="Palatino Linotype"/>
          <w:sz w:val="24"/>
          <w:szCs w:val="24"/>
        </w:rPr>
      </w:pPr>
      <w:r w:rsidRPr="009013E2">
        <w:rPr>
          <w:rFonts w:ascii="Palatino Linotype" w:hAnsi="Palatino Linotype"/>
          <w:sz w:val="24"/>
          <w:szCs w:val="24"/>
        </w:rPr>
        <w:t>Pentru transparență decizională și acces la informații de interes public, prezentul proiect de act normativ a fost publicat pe pagina de internet a ministerului, la secțiunea „Proiecte de acte normative” conform Legii nr. 52/2003, cu modificările și completările ulterioare, republicată.</w:t>
      </w:r>
    </w:p>
    <w:p w:rsidR="00D24A8A" w:rsidRPr="001F2343" w:rsidRDefault="00D16D86" w:rsidP="001F2343">
      <w:pPr>
        <w:spacing w:after="0"/>
        <w:ind w:firstLine="708"/>
        <w:jc w:val="both"/>
        <w:rPr>
          <w:rFonts w:ascii="Palatino Linotype" w:hAnsi="Palatino Linotype"/>
          <w:sz w:val="24"/>
          <w:szCs w:val="24"/>
        </w:rPr>
      </w:pPr>
      <w:r w:rsidRPr="001F2343">
        <w:rPr>
          <w:rFonts w:ascii="Palatino Linotype" w:hAnsi="Palatino Linotype"/>
          <w:sz w:val="24"/>
          <w:szCs w:val="24"/>
        </w:rPr>
        <w:t>Față de cele menționate</w:t>
      </w:r>
      <w:r w:rsidR="00E477E5" w:rsidRPr="001F2343">
        <w:rPr>
          <w:rFonts w:ascii="Palatino Linotype" w:hAnsi="Palatino Linotype"/>
          <w:sz w:val="24"/>
          <w:szCs w:val="24"/>
        </w:rPr>
        <w:t xml:space="preserve"> </w:t>
      </w:r>
      <w:r w:rsidR="00D24A8A" w:rsidRPr="001F2343">
        <w:rPr>
          <w:rFonts w:ascii="Palatino Linotype" w:hAnsi="Palatino Linotype"/>
          <w:sz w:val="24"/>
          <w:szCs w:val="24"/>
        </w:rPr>
        <w:t xml:space="preserve">a fost elaborat prezentul proiect de Hotărâre a Guvernului </w:t>
      </w:r>
      <w:r w:rsidR="00B92788" w:rsidRPr="001F2343">
        <w:rPr>
          <w:rFonts w:ascii="Palatino Linotype" w:hAnsi="Palatino Linotype"/>
          <w:sz w:val="24"/>
          <w:szCs w:val="24"/>
        </w:rPr>
        <w:t xml:space="preserve">privind </w:t>
      </w:r>
      <w:r w:rsidR="00E84237" w:rsidRPr="001F2343">
        <w:rPr>
          <w:rFonts w:ascii="Palatino Linotype" w:hAnsi="Palatino Linotype"/>
          <w:sz w:val="24"/>
          <w:szCs w:val="24"/>
        </w:rPr>
        <w:t>modificarea anexei nr. 8 la Hotărârea Guvernului nr. 1705/2006 pentru aprobarea inventarului centralizat al bunurilor din domeniul public al statului, pentru bunuri aflate în administrarea Ministerului Educației Naționale prin Inspectoratul Școlar Județean Mehedinți</w:t>
      </w:r>
      <w:r w:rsidR="00D24A8A" w:rsidRPr="001F2343">
        <w:rPr>
          <w:rFonts w:ascii="Palatino Linotype" w:hAnsi="Palatino Linotype"/>
          <w:sz w:val="24"/>
          <w:szCs w:val="24"/>
        </w:rPr>
        <w:t xml:space="preserve">, pe care îl supunem </w:t>
      </w:r>
      <w:r w:rsidR="00305554" w:rsidRPr="001F2343">
        <w:rPr>
          <w:rFonts w:ascii="Palatino Linotype" w:hAnsi="Palatino Linotype"/>
          <w:sz w:val="24"/>
          <w:szCs w:val="24"/>
        </w:rPr>
        <w:t>Guvernului</w:t>
      </w:r>
      <w:r w:rsidR="00D24A8A" w:rsidRPr="001F2343">
        <w:rPr>
          <w:rFonts w:ascii="Palatino Linotype" w:hAnsi="Palatino Linotype"/>
          <w:sz w:val="24"/>
          <w:szCs w:val="24"/>
        </w:rPr>
        <w:t xml:space="preserve"> spre adoptare.</w:t>
      </w:r>
    </w:p>
    <w:p w:rsidR="006C0F72" w:rsidRPr="001F2343" w:rsidRDefault="006C0F72" w:rsidP="001F2343">
      <w:pPr>
        <w:spacing w:after="0"/>
        <w:ind w:firstLine="708"/>
        <w:jc w:val="both"/>
        <w:rPr>
          <w:rFonts w:ascii="Palatino Linotype" w:hAnsi="Palatino Linotype"/>
          <w:sz w:val="24"/>
          <w:szCs w:val="24"/>
        </w:rPr>
      </w:pPr>
    </w:p>
    <w:p w:rsidR="00215EBF" w:rsidRPr="002678DC" w:rsidRDefault="00215EBF" w:rsidP="002D12EC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 w:val="24"/>
          <w:szCs w:val="24"/>
        </w:rPr>
      </w:pPr>
    </w:p>
    <w:p w:rsidR="0004040B" w:rsidRPr="003478EA" w:rsidRDefault="0004040B" w:rsidP="003478E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78EA">
        <w:rPr>
          <w:rFonts w:ascii="Times New Roman" w:hAnsi="Times New Roman" w:cs="Times New Roman"/>
          <w:b/>
          <w:sz w:val="24"/>
          <w:szCs w:val="24"/>
        </w:rPr>
        <w:t>MINISTRUL EDUCAȚIEI NAȚ</w:t>
      </w:r>
      <w:r w:rsidRPr="003478EA">
        <w:rPr>
          <w:rFonts w:ascii="Times New Roman" w:hAnsi="Times New Roman" w:cs="Times New Roman"/>
          <w:b/>
          <w:bCs/>
          <w:sz w:val="24"/>
          <w:szCs w:val="24"/>
        </w:rPr>
        <w:t>IONALE,</w:t>
      </w:r>
    </w:p>
    <w:p w:rsidR="002E5DE4" w:rsidRPr="00F2529A" w:rsidRDefault="002E5DE4" w:rsidP="002E5DE4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bCs/>
          <w:sz w:val="24"/>
          <w:szCs w:val="24"/>
        </w:rPr>
        <w:t>Valentin POPA</w:t>
      </w:r>
    </w:p>
    <w:p w:rsidR="002E5DE4" w:rsidRDefault="002E5DE4" w:rsidP="002E5DE4">
      <w:pPr>
        <w:pStyle w:val="NoSpacing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5DE4" w:rsidRDefault="002E5DE4" w:rsidP="002E5DE4">
      <w:pPr>
        <w:pStyle w:val="NoSpacing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5DE4" w:rsidRDefault="002E5DE4" w:rsidP="002E5DE4">
      <w:pPr>
        <w:pStyle w:val="NoSpacing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5DE4" w:rsidRDefault="002E5DE4" w:rsidP="002E5DE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AVIZĂM FAVORABIL</w:t>
      </w:r>
    </w:p>
    <w:p w:rsidR="002E5DE4" w:rsidRDefault="002E5DE4" w:rsidP="002E5DE4">
      <w:pPr>
        <w:pStyle w:val="NoSpacing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Ministrul finanțelor publice,</w:t>
      </w:r>
    </w:p>
    <w:p w:rsidR="002E5DE4" w:rsidRDefault="002E5DE4" w:rsidP="002E5DE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Palatino Linotype" w:hAnsi="Palatino Linotype"/>
          <w:bCs/>
          <w:sz w:val="24"/>
          <w:szCs w:val="24"/>
        </w:rPr>
        <w:t>Eugen Orlando TEODOROVICI</w:t>
      </w:r>
    </w:p>
    <w:p w:rsidR="002E5DE4" w:rsidRDefault="002E5DE4" w:rsidP="002E5DE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5DE4" w:rsidRDefault="002E5DE4" w:rsidP="002E5DE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5DE4" w:rsidRDefault="002E5DE4" w:rsidP="002E5DE4">
      <w:pPr>
        <w:pStyle w:val="NoSpacing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Ministrul justiției,</w:t>
      </w:r>
    </w:p>
    <w:p w:rsidR="002E5DE4" w:rsidRDefault="002E5DE4" w:rsidP="002E5DE4">
      <w:pPr>
        <w:jc w:val="center"/>
        <w:rPr>
          <w:rFonts w:ascii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hAnsi="Times New Roman" w:cs="Times New Roman"/>
          <w:bCs/>
          <w:kern w:val="36"/>
          <w:sz w:val="24"/>
          <w:szCs w:val="24"/>
        </w:rPr>
        <w:t>Tudorel TOADER</w:t>
      </w:r>
    </w:p>
    <w:p w:rsidR="002E5DE4" w:rsidRDefault="002E5DE4" w:rsidP="002E5DE4">
      <w:pPr>
        <w:pStyle w:val="NoSpacing"/>
        <w:spacing w:line="276" w:lineRule="auto"/>
        <w:jc w:val="center"/>
        <w:rPr>
          <w:rFonts w:ascii="Palatino Linotype" w:hAnsi="Palatino Linotype"/>
          <w:sz w:val="24"/>
          <w:szCs w:val="24"/>
        </w:rPr>
      </w:pPr>
    </w:p>
    <w:p w:rsidR="002E5DE4" w:rsidRDefault="002E5DE4" w:rsidP="002E5DE4">
      <w:pPr>
        <w:pStyle w:val="NoSpacing"/>
        <w:spacing w:line="276" w:lineRule="auto"/>
        <w:jc w:val="center"/>
        <w:rPr>
          <w:rFonts w:ascii="Palatino Linotype" w:hAnsi="Palatino Linotype"/>
          <w:sz w:val="24"/>
          <w:szCs w:val="24"/>
        </w:rPr>
      </w:pPr>
    </w:p>
    <w:p w:rsidR="002E5DE4" w:rsidRDefault="002E5DE4" w:rsidP="002E5DE4">
      <w:pPr>
        <w:pStyle w:val="NoSpacing"/>
        <w:spacing w:line="276" w:lineRule="auto"/>
        <w:jc w:val="center"/>
        <w:rPr>
          <w:rFonts w:ascii="Palatino Linotype" w:hAnsi="Palatino Linotype"/>
          <w:sz w:val="24"/>
          <w:szCs w:val="24"/>
        </w:rPr>
      </w:pPr>
    </w:p>
    <w:p w:rsidR="002E5DE4" w:rsidRDefault="002E5DE4" w:rsidP="002E5DE4">
      <w:pPr>
        <w:pStyle w:val="NoSpacing"/>
        <w:spacing w:line="276" w:lineRule="auto"/>
        <w:jc w:val="center"/>
        <w:rPr>
          <w:rFonts w:ascii="Palatino Linotype" w:hAnsi="Palatino Linotype"/>
          <w:sz w:val="24"/>
          <w:szCs w:val="24"/>
        </w:rPr>
      </w:pPr>
    </w:p>
    <w:p w:rsidR="002E5DE4" w:rsidRDefault="002E5DE4" w:rsidP="002E5DE4">
      <w:pPr>
        <w:pStyle w:val="NoSpacing"/>
        <w:spacing w:line="276" w:lineRule="auto"/>
        <w:jc w:val="center"/>
        <w:rPr>
          <w:rFonts w:ascii="Palatino Linotype" w:hAnsi="Palatino Linotype"/>
          <w:sz w:val="24"/>
          <w:szCs w:val="24"/>
        </w:rPr>
      </w:pPr>
    </w:p>
    <w:p w:rsidR="002E5DE4" w:rsidRDefault="002E5DE4" w:rsidP="002E5DE4">
      <w:pPr>
        <w:pStyle w:val="NoSpacing"/>
        <w:spacing w:line="276" w:lineRule="auto"/>
        <w:jc w:val="center"/>
        <w:rPr>
          <w:rFonts w:ascii="Palatino Linotype" w:hAnsi="Palatino Linotype"/>
          <w:sz w:val="24"/>
          <w:szCs w:val="24"/>
        </w:rPr>
      </w:pPr>
    </w:p>
    <w:p w:rsidR="002E5DE4" w:rsidRPr="007E2929" w:rsidRDefault="002E5DE4" w:rsidP="002E5DE4">
      <w:pPr>
        <w:tabs>
          <w:tab w:val="center" w:pos="4680"/>
          <w:tab w:val="left" w:pos="6795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                        </w:t>
      </w:r>
      <w:r w:rsidRPr="007E2929">
        <w:rPr>
          <w:rFonts w:ascii="Times New Roman" w:eastAsia="Calibri" w:hAnsi="Times New Roman" w:cs="Times New Roman"/>
          <w:b/>
          <w:sz w:val="24"/>
          <w:szCs w:val="24"/>
          <w:lang w:val="en-US"/>
        </w:rPr>
        <w:t>SECRETAR DE STAT,</w:t>
      </w:r>
      <w:r w:rsidRPr="007E2929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7E2929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</w:p>
    <w:p w:rsidR="002E5DE4" w:rsidRPr="007E2929" w:rsidRDefault="002E5DE4" w:rsidP="002E5DE4">
      <w:pPr>
        <w:spacing w:before="100" w:beforeAutospacing="1" w:after="100" w:afterAutospacing="1" w:line="240" w:lineRule="auto"/>
        <w:textAlignment w:val="top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E29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</w:t>
      </w:r>
      <w:r w:rsidRPr="007E2929">
        <w:rPr>
          <w:rFonts w:ascii="Times New Roman" w:hAnsi="Times New Roman" w:cs="Times New Roman"/>
          <w:b/>
          <w:color w:val="000000"/>
          <w:sz w:val="24"/>
          <w:szCs w:val="24"/>
        </w:rPr>
        <w:t>Gigel PARASCHIV</w:t>
      </w:r>
      <w:r w:rsidRPr="007E2929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7E2929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7E2929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7E2929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7E2929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7E2929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</w:t>
      </w:r>
      <w:r w:rsidRPr="007E29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2E5DE4" w:rsidRDefault="002E5DE4" w:rsidP="002E5DE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5DE4" w:rsidRPr="007E2929" w:rsidRDefault="002E5DE4" w:rsidP="002E5DE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929">
        <w:rPr>
          <w:rFonts w:ascii="Times New Roman" w:hAnsi="Times New Roman" w:cs="Times New Roman"/>
          <w:b/>
          <w:sz w:val="24"/>
          <w:szCs w:val="24"/>
        </w:rPr>
        <w:t>SECRETAR GENERAL,</w:t>
      </w:r>
    </w:p>
    <w:p w:rsidR="002E5DE4" w:rsidRPr="00120F29" w:rsidRDefault="002E5DE4" w:rsidP="002E5DE4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D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ănuț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GHICAN</w:t>
      </w:r>
    </w:p>
    <w:p w:rsidR="002E5DE4" w:rsidRPr="007E2929" w:rsidRDefault="002E5DE4" w:rsidP="002E5DE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5DE4" w:rsidRPr="007E2929" w:rsidRDefault="002E5DE4" w:rsidP="002E5DE4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929">
        <w:rPr>
          <w:rFonts w:ascii="Times New Roman" w:hAnsi="Times New Roman" w:cs="Times New Roman"/>
          <w:b/>
          <w:sz w:val="24"/>
          <w:szCs w:val="24"/>
        </w:rPr>
        <w:t>DIRECȚIA GENERALĂ ECONOMICĂ</w:t>
      </w:r>
    </w:p>
    <w:p w:rsidR="002E5DE4" w:rsidRPr="007E2929" w:rsidRDefault="002E5DE4" w:rsidP="002E5DE4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929">
        <w:rPr>
          <w:rFonts w:ascii="Times New Roman" w:hAnsi="Times New Roman" w:cs="Times New Roman"/>
          <w:b/>
          <w:sz w:val="24"/>
          <w:szCs w:val="24"/>
        </w:rPr>
        <w:t>DIRECTOR GENERAL,</w:t>
      </w:r>
    </w:p>
    <w:p w:rsidR="002E5DE4" w:rsidRPr="007E2929" w:rsidRDefault="002E5DE4" w:rsidP="002E5DE4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929">
        <w:rPr>
          <w:rFonts w:ascii="Times New Roman" w:hAnsi="Times New Roman" w:cs="Times New Roman"/>
          <w:b/>
          <w:sz w:val="24"/>
          <w:szCs w:val="24"/>
        </w:rPr>
        <w:t>Mihai PĂUNICĂ</w:t>
      </w:r>
    </w:p>
    <w:p w:rsidR="002E5DE4" w:rsidRPr="007E2929" w:rsidRDefault="002E5DE4" w:rsidP="002E5DE4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5DE4" w:rsidRDefault="002E5DE4" w:rsidP="002E5DE4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5DE4" w:rsidRPr="007E2929" w:rsidRDefault="002E5DE4" w:rsidP="002E5DE4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929">
        <w:rPr>
          <w:rFonts w:ascii="Times New Roman" w:hAnsi="Times New Roman" w:cs="Times New Roman"/>
          <w:b/>
          <w:sz w:val="24"/>
          <w:szCs w:val="24"/>
        </w:rPr>
        <w:t xml:space="preserve">DIRECȚIA </w:t>
      </w:r>
      <w:r>
        <w:rPr>
          <w:rFonts w:ascii="Times New Roman" w:hAnsi="Times New Roman" w:cs="Times New Roman"/>
          <w:b/>
          <w:sz w:val="24"/>
          <w:szCs w:val="24"/>
        </w:rPr>
        <w:t xml:space="preserve">GENERALĂ </w:t>
      </w:r>
      <w:r w:rsidRPr="007E2929">
        <w:rPr>
          <w:rFonts w:ascii="Times New Roman" w:hAnsi="Times New Roman" w:cs="Times New Roman"/>
          <w:b/>
          <w:sz w:val="24"/>
          <w:szCs w:val="24"/>
        </w:rPr>
        <w:t xml:space="preserve">JURIDIC </w:t>
      </w:r>
    </w:p>
    <w:p w:rsidR="002E5DE4" w:rsidRPr="007E2929" w:rsidRDefault="002E5DE4" w:rsidP="002E5DE4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929">
        <w:rPr>
          <w:rFonts w:ascii="Times New Roman" w:hAnsi="Times New Roman" w:cs="Times New Roman"/>
          <w:b/>
          <w:sz w:val="24"/>
          <w:szCs w:val="24"/>
        </w:rPr>
        <w:t>DIRECTOR</w:t>
      </w:r>
      <w:r>
        <w:rPr>
          <w:rFonts w:ascii="Times New Roman" w:hAnsi="Times New Roman" w:cs="Times New Roman"/>
          <w:b/>
          <w:sz w:val="24"/>
          <w:szCs w:val="24"/>
        </w:rPr>
        <w:t xml:space="preserve"> GENERAL</w:t>
      </w:r>
      <w:r w:rsidRPr="007E2929">
        <w:rPr>
          <w:rFonts w:ascii="Times New Roman" w:hAnsi="Times New Roman" w:cs="Times New Roman"/>
          <w:b/>
          <w:sz w:val="24"/>
          <w:szCs w:val="24"/>
        </w:rPr>
        <w:t>,</w:t>
      </w:r>
    </w:p>
    <w:p w:rsidR="002E5DE4" w:rsidRPr="007E2929" w:rsidRDefault="002E5DE4" w:rsidP="002E5DE4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929">
        <w:rPr>
          <w:rFonts w:ascii="Times New Roman" w:hAnsi="Times New Roman" w:cs="Times New Roman"/>
          <w:b/>
          <w:sz w:val="24"/>
          <w:szCs w:val="24"/>
        </w:rPr>
        <w:t xml:space="preserve"> Crina Mădălina CIOBANU</w:t>
      </w:r>
    </w:p>
    <w:p w:rsidR="002E5DE4" w:rsidRDefault="002E5DE4" w:rsidP="002E5DE4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5DE4" w:rsidRDefault="002E5DE4" w:rsidP="002E5DE4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5DE4" w:rsidRPr="007E2929" w:rsidRDefault="002E5DE4" w:rsidP="002E5DE4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929">
        <w:rPr>
          <w:rFonts w:ascii="Times New Roman" w:hAnsi="Times New Roman" w:cs="Times New Roman"/>
          <w:b/>
          <w:sz w:val="24"/>
          <w:szCs w:val="24"/>
        </w:rPr>
        <w:t xml:space="preserve">DIRECȚIA </w:t>
      </w:r>
      <w:r>
        <w:rPr>
          <w:rFonts w:ascii="Times New Roman" w:hAnsi="Times New Roman" w:cs="Times New Roman"/>
          <w:b/>
          <w:sz w:val="24"/>
          <w:szCs w:val="24"/>
        </w:rPr>
        <w:t>AVIZARE ACTE NORMATIVE ȘI PERSONAL</w:t>
      </w:r>
      <w:r w:rsidRPr="007E292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5DE4" w:rsidRPr="007E2929" w:rsidRDefault="002E5DE4" w:rsidP="002E5DE4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929">
        <w:rPr>
          <w:rFonts w:ascii="Times New Roman" w:hAnsi="Times New Roman" w:cs="Times New Roman"/>
          <w:b/>
          <w:sz w:val="24"/>
          <w:szCs w:val="24"/>
        </w:rPr>
        <w:t>DIRECTOR,</w:t>
      </w:r>
    </w:p>
    <w:p w:rsidR="002E5DE4" w:rsidRPr="007E2929" w:rsidRDefault="002E5DE4" w:rsidP="002E5DE4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92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Liliana DUȚĂ</w:t>
      </w:r>
    </w:p>
    <w:p w:rsidR="002E5DE4" w:rsidRPr="007E2929" w:rsidRDefault="002E5DE4" w:rsidP="002E5DE4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5DE4" w:rsidRPr="007E2929" w:rsidRDefault="002E5DE4" w:rsidP="002E5DE4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5DE4" w:rsidRPr="00FB1052" w:rsidRDefault="002E5DE4" w:rsidP="002E5DE4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052">
        <w:rPr>
          <w:rFonts w:ascii="Times New Roman" w:hAnsi="Times New Roman" w:cs="Times New Roman"/>
          <w:b/>
          <w:sz w:val="24"/>
          <w:szCs w:val="24"/>
        </w:rPr>
        <w:t>DIRECȚIA GENERALĂ INFRASTRUCTURĂ</w:t>
      </w:r>
    </w:p>
    <w:p w:rsidR="002E5DE4" w:rsidRPr="00FB1052" w:rsidRDefault="002E5DE4" w:rsidP="002E5DE4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052">
        <w:rPr>
          <w:rFonts w:ascii="Times New Roman" w:hAnsi="Times New Roman" w:cs="Times New Roman"/>
          <w:b/>
          <w:sz w:val="24"/>
          <w:szCs w:val="24"/>
        </w:rPr>
        <w:t>DIRECTOR GENERAL,</w:t>
      </w:r>
    </w:p>
    <w:p w:rsidR="002E5DE4" w:rsidRPr="00FB1052" w:rsidRDefault="002E5DE4" w:rsidP="002E5DE4">
      <w:pPr>
        <w:pStyle w:val="NoSpacing"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FB1052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Mariana CHIVU</w:t>
      </w:r>
    </w:p>
    <w:p w:rsidR="002E5DE4" w:rsidRDefault="002E5DE4" w:rsidP="002E5DE4">
      <w:pPr>
        <w:spacing w:after="120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2E5DE4" w:rsidRDefault="002E5DE4" w:rsidP="002E5DE4">
      <w:pPr>
        <w:spacing w:after="120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2E5DE4" w:rsidRPr="007E2929" w:rsidRDefault="002E5DE4" w:rsidP="002E5DE4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929">
        <w:rPr>
          <w:rFonts w:ascii="Times New Roman" w:hAnsi="Times New Roman" w:cs="Times New Roman"/>
          <w:b/>
          <w:sz w:val="24"/>
          <w:szCs w:val="24"/>
        </w:rPr>
        <w:t xml:space="preserve">DIRECȚIA PATRIMONIU ȘI INVESTIȚII </w:t>
      </w:r>
    </w:p>
    <w:p w:rsidR="002E5DE4" w:rsidRPr="007E2929" w:rsidRDefault="002E5DE4" w:rsidP="002E5DE4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929">
        <w:rPr>
          <w:rFonts w:ascii="Times New Roman" w:hAnsi="Times New Roman" w:cs="Times New Roman"/>
          <w:b/>
          <w:sz w:val="24"/>
          <w:szCs w:val="24"/>
        </w:rPr>
        <w:t>DIRECTOR,</w:t>
      </w:r>
    </w:p>
    <w:p w:rsidR="002E5DE4" w:rsidRPr="007E2929" w:rsidRDefault="002E5DE4" w:rsidP="002E5DE4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052">
        <w:rPr>
          <w:rFonts w:ascii="Times New Roman" w:hAnsi="Times New Roman" w:cs="Times New Roman"/>
          <w:b/>
          <w:sz w:val="24"/>
          <w:szCs w:val="24"/>
        </w:rPr>
        <w:t>Roxana ILIE</w:t>
      </w:r>
    </w:p>
    <w:p w:rsidR="002E5DE4" w:rsidRPr="007E2929" w:rsidRDefault="002E5DE4" w:rsidP="002E5DE4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5DE4" w:rsidRDefault="002E5DE4" w:rsidP="002E5D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5DE4" w:rsidRPr="007E2929" w:rsidRDefault="002E5DE4" w:rsidP="002E5DE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E2929">
        <w:rPr>
          <w:rFonts w:ascii="Times New Roman" w:hAnsi="Times New Roman" w:cs="Times New Roman"/>
          <w:sz w:val="24"/>
          <w:szCs w:val="24"/>
        </w:rPr>
        <w:t xml:space="preserve">   </w:t>
      </w:r>
      <w:r w:rsidRPr="007E2929">
        <w:rPr>
          <w:rFonts w:ascii="Times New Roman" w:hAnsi="Times New Roman" w:cs="Times New Roman"/>
          <w:b/>
          <w:sz w:val="24"/>
          <w:szCs w:val="24"/>
        </w:rPr>
        <w:t>Aviz de legalitate,</w:t>
      </w:r>
      <w:r w:rsidRPr="007E2929">
        <w:rPr>
          <w:rFonts w:ascii="Times New Roman" w:hAnsi="Times New Roman" w:cs="Times New Roman"/>
          <w:b/>
          <w:sz w:val="24"/>
          <w:szCs w:val="24"/>
        </w:rPr>
        <w:tab/>
      </w:r>
      <w:r w:rsidRPr="007E2929">
        <w:rPr>
          <w:rFonts w:ascii="Times New Roman" w:hAnsi="Times New Roman" w:cs="Times New Roman"/>
          <w:b/>
          <w:sz w:val="24"/>
          <w:szCs w:val="24"/>
        </w:rPr>
        <w:tab/>
      </w:r>
      <w:r w:rsidRPr="007E2929">
        <w:rPr>
          <w:rFonts w:ascii="Times New Roman" w:hAnsi="Times New Roman" w:cs="Times New Roman"/>
          <w:b/>
          <w:sz w:val="24"/>
          <w:szCs w:val="24"/>
        </w:rPr>
        <w:tab/>
      </w:r>
      <w:r w:rsidRPr="007E2929">
        <w:rPr>
          <w:rFonts w:ascii="Times New Roman" w:hAnsi="Times New Roman" w:cs="Times New Roman"/>
          <w:b/>
          <w:sz w:val="24"/>
          <w:szCs w:val="24"/>
        </w:rPr>
        <w:tab/>
      </w:r>
      <w:r w:rsidRPr="007E2929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7E2929">
        <w:rPr>
          <w:rFonts w:ascii="Times New Roman" w:hAnsi="Times New Roman" w:cs="Times New Roman"/>
          <w:b/>
          <w:sz w:val="24"/>
          <w:szCs w:val="24"/>
        </w:rPr>
        <w:t>Aviz de conformitate,</w:t>
      </w:r>
    </w:p>
    <w:p w:rsidR="002E5DE4" w:rsidRDefault="002E5DE4" w:rsidP="002E5DE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7E2929">
        <w:rPr>
          <w:rFonts w:ascii="Times New Roman" w:hAnsi="Times New Roman" w:cs="Times New Roman"/>
          <w:b/>
          <w:sz w:val="24"/>
          <w:szCs w:val="24"/>
        </w:rPr>
        <w:t>Valentin Sorin POPESCU</w:t>
      </w:r>
    </w:p>
    <w:p w:rsidR="002E5DE4" w:rsidRDefault="002E5DE4" w:rsidP="002E5DE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2E5DE4" w:rsidRDefault="002E5DE4" w:rsidP="002E5DE4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Întocmit,</w:t>
      </w:r>
    </w:p>
    <w:p w:rsidR="0004040B" w:rsidRPr="005C7828" w:rsidRDefault="002E5DE4" w:rsidP="002E5DE4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Crenguța NICU</w:t>
      </w:r>
    </w:p>
    <w:sectPr w:rsidR="0004040B" w:rsidRPr="005C7828" w:rsidSect="001F2343">
      <w:footerReference w:type="default" r:id="rId8"/>
      <w:pgSz w:w="11906" w:h="16838"/>
      <w:pgMar w:top="1247" w:right="1134" w:bottom="130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253" w:rsidRDefault="00BD4253" w:rsidP="00FA4BD4">
      <w:pPr>
        <w:spacing w:after="0" w:line="240" w:lineRule="auto"/>
      </w:pPr>
      <w:r>
        <w:separator/>
      </w:r>
    </w:p>
  </w:endnote>
  <w:endnote w:type="continuationSeparator" w:id="0">
    <w:p w:rsidR="00BD4253" w:rsidRDefault="00BD4253" w:rsidP="00FA4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28069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874CB" w:rsidRDefault="00A874C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1C9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874CB" w:rsidRDefault="00A874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253" w:rsidRDefault="00BD4253" w:rsidP="00FA4BD4">
      <w:pPr>
        <w:spacing w:after="0" w:line="240" w:lineRule="auto"/>
      </w:pPr>
      <w:r>
        <w:separator/>
      </w:r>
    </w:p>
  </w:footnote>
  <w:footnote w:type="continuationSeparator" w:id="0">
    <w:p w:rsidR="00BD4253" w:rsidRDefault="00BD4253" w:rsidP="00FA4B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879FD"/>
    <w:multiLevelType w:val="hybridMultilevel"/>
    <w:tmpl w:val="35CEA006"/>
    <w:lvl w:ilvl="0" w:tplc="FE9C5556">
      <w:start w:val="1"/>
      <w:numFmt w:val="decimal"/>
      <w:lvlText w:val="%1."/>
      <w:lvlJc w:val="left"/>
      <w:pPr>
        <w:ind w:left="1068" w:hanging="360"/>
      </w:pPr>
      <w:rPr>
        <w:rFonts w:ascii="Calibri" w:hAnsi="Calibri"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7746A81"/>
    <w:multiLevelType w:val="hybridMultilevel"/>
    <w:tmpl w:val="C5DAC58E"/>
    <w:lvl w:ilvl="0" w:tplc="FBF8DD5C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787E"/>
    <w:rsid w:val="00002ED2"/>
    <w:rsid w:val="00013BAF"/>
    <w:rsid w:val="000253B9"/>
    <w:rsid w:val="0003566A"/>
    <w:rsid w:val="0004040B"/>
    <w:rsid w:val="00043916"/>
    <w:rsid w:val="00043BE9"/>
    <w:rsid w:val="00043E61"/>
    <w:rsid w:val="000459B9"/>
    <w:rsid w:val="0005491C"/>
    <w:rsid w:val="00057BAD"/>
    <w:rsid w:val="00061189"/>
    <w:rsid w:val="00062947"/>
    <w:rsid w:val="00064048"/>
    <w:rsid w:val="00067538"/>
    <w:rsid w:val="000711E4"/>
    <w:rsid w:val="00080179"/>
    <w:rsid w:val="00082A8A"/>
    <w:rsid w:val="00086D49"/>
    <w:rsid w:val="00091665"/>
    <w:rsid w:val="000A0107"/>
    <w:rsid w:val="000A5875"/>
    <w:rsid w:val="000B20E3"/>
    <w:rsid w:val="000B3140"/>
    <w:rsid w:val="000B6A27"/>
    <w:rsid w:val="000B7C89"/>
    <w:rsid w:val="000C005C"/>
    <w:rsid w:val="000C0AFB"/>
    <w:rsid w:val="000D4F7E"/>
    <w:rsid w:val="000F294A"/>
    <w:rsid w:val="00102E84"/>
    <w:rsid w:val="00106DD5"/>
    <w:rsid w:val="00107233"/>
    <w:rsid w:val="00107653"/>
    <w:rsid w:val="00113F2A"/>
    <w:rsid w:val="00124A60"/>
    <w:rsid w:val="001345D7"/>
    <w:rsid w:val="00135217"/>
    <w:rsid w:val="0013745C"/>
    <w:rsid w:val="00137540"/>
    <w:rsid w:val="001461F1"/>
    <w:rsid w:val="001479C9"/>
    <w:rsid w:val="001532BB"/>
    <w:rsid w:val="001537FB"/>
    <w:rsid w:val="00155883"/>
    <w:rsid w:val="00163591"/>
    <w:rsid w:val="00166469"/>
    <w:rsid w:val="00167CD2"/>
    <w:rsid w:val="00183499"/>
    <w:rsid w:val="00186C10"/>
    <w:rsid w:val="00187483"/>
    <w:rsid w:val="00196560"/>
    <w:rsid w:val="001970C6"/>
    <w:rsid w:val="001A37A0"/>
    <w:rsid w:val="001A4073"/>
    <w:rsid w:val="001A4074"/>
    <w:rsid w:val="001B3671"/>
    <w:rsid w:val="001C3D7C"/>
    <w:rsid w:val="001C5C20"/>
    <w:rsid w:val="001D2C41"/>
    <w:rsid w:val="001E09E3"/>
    <w:rsid w:val="001E27C9"/>
    <w:rsid w:val="001E5DDD"/>
    <w:rsid w:val="001E6CB8"/>
    <w:rsid w:val="001F1A86"/>
    <w:rsid w:val="001F2343"/>
    <w:rsid w:val="001F345E"/>
    <w:rsid w:val="001F3D6C"/>
    <w:rsid w:val="001F4F88"/>
    <w:rsid w:val="00203074"/>
    <w:rsid w:val="0020457F"/>
    <w:rsid w:val="0020468A"/>
    <w:rsid w:val="0020793C"/>
    <w:rsid w:val="00210CC1"/>
    <w:rsid w:val="00212890"/>
    <w:rsid w:val="002156C2"/>
    <w:rsid w:val="00215EBF"/>
    <w:rsid w:val="00217C80"/>
    <w:rsid w:val="0022325F"/>
    <w:rsid w:val="00223975"/>
    <w:rsid w:val="00225DBA"/>
    <w:rsid w:val="00230F6C"/>
    <w:rsid w:val="00232806"/>
    <w:rsid w:val="0024084E"/>
    <w:rsid w:val="002437D5"/>
    <w:rsid w:val="00244032"/>
    <w:rsid w:val="0024585F"/>
    <w:rsid w:val="00254D19"/>
    <w:rsid w:val="002678DC"/>
    <w:rsid w:val="00276C33"/>
    <w:rsid w:val="00281931"/>
    <w:rsid w:val="00282092"/>
    <w:rsid w:val="00287472"/>
    <w:rsid w:val="00287B7D"/>
    <w:rsid w:val="00290F0B"/>
    <w:rsid w:val="002960C2"/>
    <w:rsid w:val="00296B76"/>
    <w:rsid w:val="002A1AAE"/>
    <w:rsid w:val="002A3B2A"/>
    <w:rsid w:val="002A6CA0"/>
    <w:rsid w:val="002B1AEC"/>
    <w:rsid w:val="002B48F4"/>
    <w:rsid w:val="002B49F1"/>
    <w:rsid w:val="002B7E98"/>
    <w:rsid w:val="002C085A"/>
    <w:rsid w:val="002C1F88"/>
    <w:rsid w:val="002C2B2C"/>
    <w:rsid w:val="002C32E8"/>
    <w:rsid w:val="002D12EC"/>
    <w:rsid w:val="002D1F89"/>
    <w:rsid w:val="002D31DC"/>
    <w:rsid w:val="002D623E"/>
    <w:rsid w:val="002E06D6"/>
    <w:rsid w:val="002E340E"/>
    <w:rsid w:val="002E5DE4"/>
    <w:rsid w:val="002E7C95"/>
    <w:rsid w:val="002F4B05"/>
    <w:rsid w:val="00305090"/>
    <w:rsid w:val="00305554"/>
    <w:rsid w:val="00306DA2"/>
    <w:rsid w:val="00320B3A"/>
    <w:rsid w:val="0032121E"/>
    <w:rsid w:val="00322E3E"/>
    <w:rsid w:val="00327840"/>
    <w:rsid w:val="003312A1"/>
    <w:rsid w:val="0033167E"/>
    <w:rsid w:val="0033398E"/>
    <w:rsid w:val="0033580F"/>
    <w:rsid w:val="00336422"/>
    <w:rsid w:val="00340359"/>
    <w:rsid w:val="00340F44"/>
    <w:rsid w:val="003418C4"/>
    <w:rsid w:val="0034215F"/>
    <w:rsid w:val="0034314F"/>
    <w:rsid w:val="003473A5"/>
    <w:rsid w:val="003478EA"/>
    <w:rsid w:val="00355BBF"/>
    <w:rsid w:val="00356CF4"/>
    <w:rsid w:val="00357C3A"/>
    <w:rsid w:val="00360AD1"/>
    <w:rsid w:val="003647B1"/>
    <w:rsid w:val="0036504D"/>
    <w:rsid w:val="003675D7"/>
    <w:rsid w:val="003735D4"/>
    <w:rsid w:val="00374915"/>
    <w:rsid w:val="00375A01"/>
    <w:rsid w:val="00376618"/>
    <w:rsid w:val="0038098B"/>
    <w:rsid w:val="00381DA1"/>
    <w:rsid w:val="00383401"/>
    <w:rsid w:val="00383B58"/>
    <w:rsid w:val="00393ACD"/>
    <w:rsid w:val="003A61C7"/>
    <w:rsid w:val="003A76D3"/>
    <w:rsid w:val="003B2B77"/>
    <w:rsid w:val="003B7DEF"/>
    <w:rsid w:val="003C35A7"/>
    <w:rsid w:val="003C5708"/>
    <w:rsid w:val="003C6B0C"/>
    <w:rsid w:val="003D0CF2"/>
    <w:rsid w:val="003D0D46"/>
    <w:rsid w:val="003D3F88"/>
    <w:rsid w:val="003D49CF"/>
    <w:rsid w:val="003E23DE"/>
    <w:rsid w:val="003F2519"/>
    <w:rsid w:val="003F2871"/>
    <w:rsid w:val="003F5C64"/>
    <w:rsid w:val="00401079"/>
    <w:rsid w:val="004044CD"/>
    <w:rsid w:val="00404F3C"/>
    <w:rsid w:val="0040601F"/>
    <w:rsid w:val="00407A02"/>
    <w:rsid w:val="00412231"/>
    <w:rsid w:val="00413A58"/>
    <w:rsid w:val="00425477"/>
    <w:rsid w:val="00427ADE"/>
    <w:rsid w:val="00434B85"/>
    <w:rsid w:val="004467FD"/>
    <w:rsid w:val="00446D96"/>
    <w:rsid w:val="004509F4"/>
    <w:rsid w:val="0045373D"/>
    <w:rsid w:val="00463D85"/>
    <w:rsid w:val="0046433C"/>
    <w:rsid w:val="0047121E"/>
    <w:rsid w:val="004820CE"/>
    <w:rsid w:val="00492F16"/>
    <w:rsid w:val="00493603"/>
    <w:rsid w:val="00496334"/>
    <w:rsid w:val="004A1F1B"/>
    <w:rsid w:val="004A3416"/>
    <w:rsid w:val="004A4553"/>
    <w:rsid w:val="004B39EC"/>
    <w:rsid w:val="004C1040"/>
    <w:rsid w:val="004C2BD8"/>
    <w:rsid w:val="004C332B"/>
    <w:rsid w:val="004C3996"/>
    <w:rsid w:val="004C6DC4"/>
    <w:rsid w:val="004D4E08"/>
    <w:rsid w:val="004E138E"/>
    <w:rsid w:val="004E2733"/>
    <w:rsid w:val="004E3040"/>
    <w:rsid w:val="0050364D"/>
    <w:rsid w:val="005101AF"/>
    <w:rsid w:val="00510CC2"/>
    <w:rsid w:val="005138F5"/>
    <w:rsid w:val="005153CF"/>
    <w:rsid w:val="00516DE2"/>
    <w:rsid w:val="00521148"/>
    <w:rsid w:val="00524D5E"/>
    <w:rsid w:val="00525328"/>
    <w:rsid w:val="005254ED"/>
    <w:rsid w:val="00525A53"/>
    <w:rsid w:val="005262AB"/>
    <w:rsid w:val="005336EF"/>
    <w:rsid w:val="00535880"/>
    <w:rsid w:val="00543221"/>
    <w:rsid w:val="00551610"/>
    <w:rsid w:val="00555B5B"/>
    <w:rsid w:val="0056728D"/>
    <w:rsid w:val="0057087E"/>
    <w:rsid w:val="00580DD4"/>
    <w:rsid w:val="0058648F"/>
    <w:rsid w:val="00587BA3"/>
    <w:rsid w:val="00594686"/>
    <w:rsid w:val="005951BB"/>
    <w:rsid w:val="005A06FC"/>
    <w:rsid w:val="005A13D0"/>
    <w:rsid w:val="005A2A99"/>
    <w:rsid w:val="005A541D"/>
    <w:rsid w:val="005A6218"/>
    <w:rsid w:val="005B0277"/>
    <w:rsid w:val="005B1405"/>
    <w:rsid w:val="005B4A78"/>
    <w:rsid w:val="005D15A7"/>
    <w:rsid w:val="005D3451"/>
    <w:rsid w:val="005E01FB"/>
    <w:rsid w:val="005F1C9A"/>
    <w:rsid w:val="005F5C3F"/>
    <w:rsid w:val="005F696C"/>
    <w:rsid w:val="006013A1"/>
    <w:rsid w:val="00602584"/>
    <w:rsid w:val="00607892"/>
    <w:rsid w:val="0061501C"/>
    <w:rsid w:val="00622FAE"/>
    <w:rsid w:val="00623004"/>
    <w:rsid w:val="00625007"/>
    <w:rsid w:val="00630677"/>
    <w:rsid w:val="00632025"/>
    <w:rsid w:val="00636242"/>
    <w:rsid w:val="0063642B"/>
    <w:rsid w:val="00640D12"/>
    <w:rsid w:val="00643147"/>
    <w:rsid w:val="00646704"/>
    <w:rsid w:val="00650F94"/>
    <w:rsid w:val="00651E2B"/>
    <w:rsid w:val="00657F3D"/>
    <w:rsid w:val="006609B9"/>
    <w:rsid w:val="0066479A"/>
    <w:rsid w:val="00677E92"/>
    <w:rsid w:val="006815BD"/>
    <w:rsid w:val="00682046"/>
    <w:rsid w:val="0068543B"/>
    <w:rsid w:val="00687DB3"/>
    <w:rsid w:val="00690E25"/>
    <w:rsid w:val="006A286F"/>
    <w:rsid w:val="006A68DE"/>
    <w:rsid w:val="006B7729"/>
    <w:rsid w:val="006C0F72"/>
    <w:rsid w:val="006C214B"/>
    <w:rsid w:val="006D1A35"/>
    <w:rsid w:val="006E4124"/>
    <w:rsid w:val="006E666D"/>
    <w:rsid w:val="006E6FD2"/>
    <w:rsid w:val="006F72F3"/>
    <w:rsid w:val="007026D3"/>
    <w:rsid w:val="00703B68"/>
    <w:rsid w:val="00707CB6"/>
    <w:rsid w:val="0071013A"/>
    <w:rsid w:val="007101FD"/>
    <w:rsid w:val="00711169"/>
    <w:rsid w:val="00712225"/>
    <w:rsid w:val="00714AEB"/>
    <w:rsid w:val="00723635"/>
    <w:rsid w:val="007418DD"/>
    <w:rsid w:val="00744513"/>
    <w:rsid w:val="00745CF4"/>
    <w:rsid w:val="007512CB"/>
    <w:rsid w:val="00756327"/>
    <w:rsid w:val="007563D8"/>
    <w:rsid w:val="007649DC"/>
    <w:rsid w:val="007659F9"/>
    <w:rsid w:val="00766DD6"/>
    <w:rsid w:val="00767AB2"/>
    <w:rsid w:val="007777D5"/>
    <w:rsid w:val="007800E6"/>
    <w:rsid w:val="007802A3"/>
    <w:rsid w:val="00781241"/>
    <w:rsid w:val="007815DE"/>
    <w:rsid w:val="007846BE"/>
    <w:rsid w:val="00787D27"/>
    <w:rsid w:val="007918C1"/>
    <w:rsid w:val="00793E39"/>
    <w:rsid w:val="007947D8"/>
    <w:rsid w:val="00795BE0"/>
    <w:rsid w:val="00797679"/>
    <w:rsid w:val="007A0C6D"/>
    <w:rsid w:val="007A2314"/>
    <w:rsid w:val="007B48CE"/>
    <w:rsid w:val="007B4C57"/>
    <w:rsid w:val="007B6B90"/>
    <w:rsid w:val="007C3A1E"/>
    <w:rsid w:val="007C3E46"/>
    <w:rsid w:val="007C6259"/>
    <w:rsid w:val="007D1F8E"/>
    <w:rsid w:val="007D2A1A"/>
    <w:rsid w:val="007D60F9"/>
    <w:rsid w:val="007E09AD"/>
    <w:rsid w:val="007E228E"/>
    <w:rsid w:val="007E4790"/>
    <w:rsid w:val="007E50B1"/>
    <w:rsid w:val="007E6A1E"/>
    <w:rsid w:val="007F1B42"/>
    <w:rsid w:val="00801BD0"/>
    <w:rsid w:val="00804056"/>
    <w:rsid w:val="00813251"/>
    <w:rsid w:val="0082009B"/>
    <w:rsid w:val="008230DF"/>
    <w:rsid w:val="00827CD8"/>
    <w:rsid w:val="00835D17"/>
    <w:rsid w:val="00836D21"/>
    <w:rsid w:val="0083792D"/>
    <w:rsid w:val="00842317"/>
    <w:rsid w:val="00854EEB"/>
    <w:rsid w:val="0085537E"/>
    <w:rsid w:val="008569B1"/>
    <w:rsid w:val="00860E07"/>
    <w:rsid w:val="00870301"/>
    <w:rsid w:val="008757BB"/>
    <w:rsid w:val="00881467"/>
    <w:rsid w:val="00887260"/>
    <w:rsid w:val="00887ABA"/>
    <w:rsid w:val="008938B8"/>
    <w:rsid w:val="00896EF7"/>
    <w:rsid w:val="00897A1C"/>
    <w:rsid w:val="008A44AE"/>
    <w:rsid w:val="008A52E7"/>
    <w:rsid w:val="008A604C"/>
    <w:rsid w:val="008B0DEC"/>
    <w:rsid w:val="008B7FFB"/>
    <w:rsid w:val="008D31AF"/>
    <w:rsid w:val="008D5E2F"/>
    <w:rsid w:val="008E39EC"/>
    <w:rsid w:val="008E3B26"/>
    <w:rsid w:val="008E6130"/>
    <w:rsid w:val="008F41DA"/>
    <w:rsid w:val="00900D70"/>
    <w:rsid w:val="009013E2"/>
    <w:rsid w:val="009152C9"/>
    <w:rsid w:val="009215F9"/>
    <w:rsid w:val="0092226A"/>
    <w:rsid w:val="00922FB9"/>
    <w:rsid w:val="00925973"/>
    <w:rsid w:val="009307E4"/>
    <w:rsid w:val="00932EEA"/>
    <w:rsid w:val="00934712"/>
    <w:rsid w:val="00936A4A"/>
    <w:rsid w:val="00940D7E"/>
    <w:rsid w:val="00942FD0"/>
    <w:rsid w:val="00945C85"/>
    <w:rsid w:val="00947EF2"/>
    <w:rsid w:val="009507E5"/>
    <w:rsid w:val="00955981"/>
    <w:rsid w:val="00960266"/>
    <w:rsid w:val="00961229"/>
    <w:rsid w:val="0096486F"/>
    <w:rsid w:val="00965D92"/>
    <w:rsid w:val="00965E43"/>
    <w:rsid w:val="0097203D"/>
    <w:rsid w:val="00992100"/>
    <w:rsid w:val="009A0405"/>
    <w:rsid w:val="009A505A"/>
    <w:rsid w:val="009A6AE1"/>
    <w:rsid w:val="009A6FBC"/>
    <w:rsid w:val="009B0F82"/>
    <w:rsid w:val="009B1A2E"/>
    <w:rsid w:val="009B5BFB"/>
    <w:rsid w:val="009C125B"/>
    <w:rsid w:val="009C182A"/>
    <w:rsid w:val="009C7656"/>
    <w:rsid w:val="009E35E8"/>
    <w:rsid w:val="009E6F35"/>
    <w:rsid w:val="009F4D6F"/>
    <w:rsid w:val="009F65B8"/>
    <w:rsid w:val="00A01405"/>
    <w:rsid w:val="00A01E04"/>
    <w:rsid w:val="00A022C3"/>
    <w:rsid w:val="00A0795D"/>
    <w:rsid w:val="00A12BCC"/>
    <w:rsid w:val="00A12EF1"/>
    <w:rsid w:val="00A17F04"/>
    <w:rsid w:val="00A20B4B"/>
    <w:rsid w:val="00A210B1"/>
    <w:rsid w:val="00A21693"/>
    <w:rsid w:val="00A373B4"/>
    <w:rsid w:val="00A37C4D"/>
    <w:rsid w:val="00A443A5"/>
    <w:rsid w:val="00A539D8"/>
    <w:rsid w:val="00A54917"/>
    <w:rsid w:val="00A5603E"/>
    <w:rsid w:val="00A6218E"/>
    <w:rsid w:val="00A7064F"/>
    <w:rsid w:val="00A73045"/>
    <w:rsid w:val="00A74A1B"/>
    <w:rsid w:val="00A7601E"/>
    <w:rsid w:val="00A874CB"/>
    <w:rsid w:val="00A912D4"/>
    <w:rsid w:val="00AA0D68"/>
    <w:rsid w:val="00AA2C3C"/>
    <w:rsid w:val="00AA7597"/>
    <w:rsid w:val="00AB1278"/>
    <w:rsid w:val="00AB3FE5"/>
    <w:rsid w:val="00AC4CB1"/>
    <w:rsid w:val="00AD567C"/>
    <w:rsid w:val="00AD7F2F"/>
    <w:rsid w:val="00AE3D15"/>
    <w:rsid w:val="00AF3339"/>
    <w:rsid w:val="00AF516A"/>
    <w:rsid w:val="00AF767E"/>
    <w:rsid w:val="00B0103F"/>
    <w:rsid w:val="00B01E8A"/>
    <w:rsid w:val="00B02E2B"/>
    <w:rsid w:val="00B04247"/>
    <w:rsid w:val="00B06415"/>
    <w:rsid w:val="00B07F72"/>
    <w:rsid w:val="00B11D3E"/>
    <w:rsid w:val="00B15818"/>
    <w:rsid w:val="00B22101"/>
    <w:rsid w:val="00B27B63"/>
    <w:rsid w:val="00B330BE"/>
    <w:rsid w:val="00B33518"/>
    <w:rsid w:val="00B34B7C"/>
    <w:rsid w:val="00B365FF"/>
    <w:rsid w:val="00B366F4"/>
    <w:rsid w:val="00B37E4C"/>
    <w:rsid w:val="00B40E5E"/>
    <w:rsid w:val="00B434D3"/>
    <w:rsid w:val="00B5192A"/>
    <w:rsid w:val="00B561AD"/>
    <w:rsid w:val="00B65917"/>
    <w:rsid w:val="00B75F57"/>
    <w:rsid w:val="00B80759"/>
    <w:rsid w:val="00B82D61"/>
    <w:rsid w:val="00B92788"/>
    <w:rsid w:val="00B9278D"/>
    <w:rsid w:val="00B953B7"/>
    <w:rsid w:val="00B954C6"/>
    <w:rsid w:val="00BA2D24"/>
    <w:rsid w:val="00BB1ECF"/>
    <w:rsid w:val="00BB2286"/>
    <w:rsid w:val="00BB3906"/>
    <w:rsid w:val="00BB43D0"/>
    <w:rsid w:val="00BB6E80"/>
    <w:rsid w:val="00BC1C3C"/>
    <w:rsid w:val="00BC245C"/>
    <w:rsid w:val="00BC7CE4"/>
    <w:rsid w:val="00BD0477"/>
    <w:rsid w:val="00BD0762"/>
    <w:rsid w:val="00BD0F22"/>
    <w:rsid w:val="00BD125A"/>
    <w:rsid w:val="00BD3893"/>
    <w:rsid w:val="00BD4253"/>
    <w:rsid w:val="00BD4BAE"/>
    <w:rsid w:val="00BE6AE6"/>
    <w:rsid w:val="00BF0CDA"/>
    <w:rsid w:val="00BF7EFD"/>
    <w:rsid w:val="00C13ACA"/>
    <w:rsid w:val="00C14FF9"/>
    <w:rsid w:val="00C17031"/>
    <w:rsid w:val="00C20170"/>
    <w:rsid w:val="00C24000"/>
    <w:rsid w:val="00C301FE"/>
    <w:rsid w:val="00C3091E"/>
    <w:rsid w:val="00C37C23"/>
    <w:rsid w:val="00C42689"/>
    <w:rsid w:val="00C45D90"/>
    <w:rsid w:val="00C462AF"/>
    <w:rsid w:val="00C46EEC"/>
    <w:rsid w:val="00C472A1"/>
    <w:rsid w:val="00C5027A"/>
    <w:rsid w:val="00C51BDC"/>
    <w:rsid w:val="00C5366A"/>
    <w:rsid w:val="00C67556"/>
    <w:rsid w:val="00C702FC"/>
    <w:rsid w:val="00C70827"/>
    <w:rsid w:val="00C711B2"/>
    <w:rsid w:val="00C7343B"/>
    <w:rsid w:val="00C77660"/>
    <w:rsid w:val="00C80B29"/>
    <w:rsid w:val="00C81D0E"/>
    <w:rsid w:val="00C86B80"/>
    <w:rsid w:val="00C86CD8"/>
    <w:rsid w:val="00CA6560"/>
    <w:rsid w:val="00CB1A0B"/>
    <w:rsid w:val="00CB602D"/>
    <w:rsid w:val="00CD1E53"/>
    <w:rsid w:val="00CD34B3"/>
    <w:rsid w:val="00CD5A17"/>
    <w:rsid w:val="00CD61AE"/>
    <w:rsid w:val="00CE0437"/>
    <w:rsid w:val="00CE5DA1"/>
    <w:rsid w:val="00CE5FC9"/>
    <w:rsid w:val="00CF06B9"/>
    <w:rsid w:val="00D00104"/>
    <w:rsid w:val="00D05BC0"/>
    <w:rsid w:val="00D10EEB"/>
    <w:rsid w:val="00D16AB7"/>
    <w:rsid w:val="00D16D86"/>
    <w:rsid w:val="00D24A8A"/>
    <w:rsid w:val="00D24C75"/>
    <w:rsid w:val="00D26B50"/>
    <w:rsid w:val="00D26FDC"/>
    <w:rsid w:val="00D343E2"/>
    <w:rsid w:val="00D35F2F"/>
    <w:rsid w:val="00D36BB3"/>
    <w:rsid w:val="00D40921"/>
    <w:rsid w:val="00D474A1"/>
    <w:rsid w:val="00D541ED"/>
    <w:rsid w:val="00D555F8"/>
    <w:rsid w:val="00D61DB1"/>
    <w:rsid w:val="00D61F29"/>
    <w:rsid w:val="00D6233C"/>
    <w:rsid w:val="00D64CA1"/>
    <w:rsid w:val="00D66EAF"/>
    <w:rsid w:val="00D703B4"/>
    <w:rsid w:val="00D7242C"/>
    <w:rsid w:val="00D73103"/>
    <w:rsid w:val="00D74941"/>
    <w:rsid w:val="00D750DB"/>
    <w:rsid w:val="00D77C9A"/>
    <w:rsid w:val="00D836DD"/>
    <w:rsid w:val="00D84F24"/>
    <w:rsid w:val="00D85F34"/>
    <w:rsid w:val="00D86BD0"/>
    <w:rsid w:val="00D86CF9"/>
    <w:rsid w:val="00D9006C"/>
    <w:rsid w:val="00D900E7"/>
    <w:rsid w:val="00D93A1F"/>
    <w:rsid w:val="00D94764"/>
    <w:rsid w:val="00D96E85"/>
    <w:rsid w:val="00D972B5"/>
    <w:rsid w:val="00DA010A"/>
    <w:rsid w:val="00DB04C6"/>
    <w:rsid w:val="00DC0C35"/>
    <w:rsid w:val="00DD04BF"/>
    <w:rsid w:val="00DD0EF5"/>
    <w:rsid w:val="00DD12A3"/>
    <w:rsid w:val="00DE06A1"/>
    <w:rsid w:val="00E01C11"/>
    <w:rsid w:val="00E02FCB"/>
    <w:rsid w:val="00E03DCE"/>
    <w:rsid w:val="00E04C7A"/>
    <w:rsid w:val="00E05181"/>
    <w:rsid w:val="00E067B7"/>
    <w:rsid w:val="00E157D3"/>
    <w:rsid w:val="00E15A24"/>
    <w:rsid w:val="00E17C63"/>
    <w:rsid w:val="00E2387C"/>
    <w:rsid w:val="00E27D0A"/>
    <w:rsid w:val="00E318D6"/>
    <w:rsid w:val="00E351F5"/>
    <w:rsid w:val="00E477E5"/>
    <w:rsid w:val="00E57892"/>
    <w:rsid w:val="00E6431C"/>
    <w:rsid w:val="00E65264"/>
    <w:rsid w:val="00E655A8"/>
    <w:rsid w:val="00E664EB"/>
    <w:rsid w:val="00E66CE1"/>
    <w:rsid w:val="00E71B4F"/>
    <w:rsid w:val="00E75942"/>
    <w:rsid w:val="00E76FA7"/>
    <w:rsid w:val="00E7787E"/>
    <w:rsid w:val="00E80596"/>
    <w:rsid w:val="00E81F62"/>
    <w:rsid w:val="00E84237"/>
    <w:rsid w:val="00E907CA"/>
    <w:rsid w:val="00E97723"/>
    <w:rsid w:val="00EA0178"/>
    <w:rsid w:val="00EA3992"/>
    <w:rsid w:val="00EA40CC"/>
    <w:rsid w:val="00EB14E1"/>
    <w:rsid w:val="00EB20DB"/>
    <w:rsid w:val="00EB5E47"/>
    <w:rsid w:val="00EC160C"/>
    <w:rsid w:val="00EC2728"/>
    <w:rsid w:val="00EC62B6"/>
    <w:rsid w:val="00ED0FC7"/>
    <w:rsid w:val="00EE5371"/>
    <w:rsid w:val="00EF303F"/>
    <w:rsid w:val="00F07F44"/>
    <w:rsid w:val="00F1227B"/>
    <w:rsid w:val="00F12E84"/>
    <w:rsid w:val="00F20818"/>
    <w:rsid w:val="00F2183C"/>
    <w:rsid w:val="00F26430"/>
    <w:rsid w:val="00F30886"/>
    <w:rsid w:val="00F33ADC"/>
    <w:rsid w:val="00F36E81"/>
    <w:rsid w:val="00F6014F"/>
    <w:rsid w:val="00F67E14"/>
    <w:rsid w:val="00F75EF9"/>
    <w:rsid w:val="00F802F9"/>
    <w:rsid w:val="00F838CC"/>
    <w:rsid w:val="00F90BE2"/>
    <w:rsid w:val="00F919D4"/>
    <w:rsid w:val="00F9336D"/>
    <w:rsid w:val="00F976DC"/>
    <w:rsid w:val="00FA084E"/>
    <w:rsid w:val="00FA4BD4"/>
    <w:rsid w:val="00FB13F5"/>
    <w:rsid w:val="00FB6DA4"/>
    <w:rsid w:val="00FC7AF7"/>
    <w:rsid w:val="00FD3FC5"/>
    <w:rsid w:val="00FD4617"/>
    <w:rsid w:val="00FD463E"/>
    <w:rsid w:val="00FD5A89"/>
    <w:rsid w:val="00FE2101"/>
    <w:rsid w:val="00FE6DAD"/>
    <w:rsid w:val="00FE6FD8"/>
    <w:rsid w:val="00FF0083"/>
    <w:rsid w:val="00FF1A64"/>
    <w:rsid w:val="00FF4BA7"/>
    <w:rsid w:val="00FF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DF7C90-59D9-425B-A3C2-3BBCB95EA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98E"/>
  </w:style>
  <w:style w:type="paragraph" w:styleId="Heading5">
    <w:name w:val="heading 5"/>
    <w:basedOn w:val="Normal"/>
    <w:link w:val="Heading5Char"/>
    <w:uiPriority w:val="9"/>
    <w:unhideWhenUsed/>
    <w:qFormat/>
    <w:rsid w:val="003C570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E75942"/>
    <w:rPr>
      <w:b/>
      <w:bCs/>
      <w:i w:val="0"/>
      <w:iCs w:val="0"/>
    </w:rPr>
  </w:style>
  <w:style w:type="character" w:customStyle="1" w:styleId="Heading5Char">
    <w:name w:val="Heading 5 Char"/>
    <w:basedOn w:val="DefaultParagraphFont"/>
    <w:link w:val="Heading5"/>
    <w:uiPriority w:val="9"/>
    <w:rsid w:val="003C5708"/>
    <w:rPr>
      <w:rFonts w:ascii="Times New Roman" w:eastAsia="Times New Roman" w:hAnsi="Times New Roman" w:cs="Times New Roman"/>
      <w:b/>
      <w:bCs/>
      <w:sz w:val="20"/>
      <w:szCs w:val="20"/>
      <w:lang w:eastAsia="ro-RO"/>
    </w:rPr>
  </w:style>
  <w:style w:type="paragraph" w:styleId="NormalWeb">
    <w:name w:val="Normal (Web)"/>
    <w:basedOn w:val="Normal"/>
    <w:uiPriority w:val="99"/>
    <w:unhideWhenUsed/>
    <w:rsid w:val="003C5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6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6F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A4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4BD4"/>
  </w:style>
  <w:style w:type="paragraph" w:styleId="Footer">
    <w:name w:val="footer"/>
    <w:basedOn w:val="Normal"/>
    <w:link w:val="FooterChar"/>
    <w:uiPriority w:val="99"/>
    <w:unhideWhenUsed/>
    <w:rsid w:val="00FA4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4BD4"/>
  </w:style>
  <w:style w:type="paragraph" w:styleId="NoSpacing">
    <w:name w:val="No Spacing"/>
    <w:link w:val="NoSpacingChar"/>
    <w:uiPriority w:val="1"/>
    <w:qFormat/>
    <w:rsid w:val="00CD1E5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A6560"/>
    <w:pPr>
      <w:spacing w:line="240" w:lineRule="auto"/>
      <w:ind w:left="720"/>
      <w:contextualSpacing/>
      <w:jc w:val="both"/>
    </w:pPr>
    <w:rPr>
      <w:rFonts w:ascii="Palatino Linotype" w:eastAsia="Calibri" w:hAnsi="Palatino Linotype" w:cs="Times New Roman"/>
      <w:sz w:val="24"/>
      <w:lang w:val="en-US"/>
    </w:rPr>
  </w:style>
  <w:style w:type="character" w:customStyle="1" w:styleId="NoSpacingChar">
    <w:name w:val="No Spacing Char"/>
    <w:link w:val="NoSpacing"/>
    <w:uiPriority w:val="1"/>
    <w:rsid w:val="0004040B"/>
  </w:style>
  <w:style w:type="character" w:customStyle="1" w:styleId="st1">
    <w:name w:val="st1"/>
    <w:basedOn w:val="DefaultParagraphFont"/>
    <w:rsid w:val="003478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6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8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7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67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61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5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967230">
                              <w:marLeft w:val="0"/>
                              <w:marRight w:val="0"/>
                              <w:marTop w:val="9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328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427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300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76421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0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07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94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05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37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533444">
                              <w:marLeft w:val="0"/>
                              <w:marRight w:val="0"/>
                              <w:marTop w:val="9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550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960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304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4828853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1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9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91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5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05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640660">
                              <w:marLeft w:val="0"/>
                              <w:marRight w:val="0"/>
                              <w:marTop w:val="9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243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032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6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9110486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1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56302-26E2-4DB8-B0A1-4614DE8F3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7069</TotalTime>
  <Pages>4</Pages>
  <Words>1183</Words>
  <Characters>6867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roxana.ilie</dc:creator>
  <cp:lastModifiedBy>Nicu Crenguta</cp:lastModifiedBy>
  <cp:revision>353</cp:revision>
  <cp:lastPrinted>2018-03-13T13:56:00Z</cp:lastPrinted>
  <dcterms:created xsi:type="dcterms:W3CDTF">2011-03-24T13:29:00Z</dcterms:created>
  <dcterms:modified xsi:type="dcterms:W3CDTF">2018-03-13T14:02:00Z</dcterms:modified>
</cp:coreProperties>
</file>