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95" w:rsidRDefault="00571E95" w:rsidP="00571E95">
      <w:pPr>
        <w:spacing w:after="160" w:line="256" w:lineRule="auto"/>
        <w:rPr>
          <w:lang w:val="es-ES"/>
        </w:rPr>
      </w:pPr>
    </w:p>
    <w:p w:rsidR="00571E95" w:rsidRDefault="00571E95" w:rsidP="00571E95">
      <w:pPr>
        <w:spacing w:after="160" w:line="256" w:lineRule="auto"/>
        <w:jc w:val="center"/>
        <w:rPr>
          <w:rFonts w:ascii="AvantGardEFNormal" w:eastAsiaTheme="minorHAnsi" w:hAnsi="AvantGardEFNormal" w:cstheme="minorBidi"/>
          <w:b/>
          <w:szCs w:val="24"/>
          <w:lang w:val="ro-RO"/>
        </w:rPr>
      </w:pPr>
      <w:r>
        <w:rPr>
          <w:rFonts w:ascii="AvantGardEFNormal" w:eastAsiaTheme="minorHAnsi" w:hAnsi="AvantGardEFNormal" w:cstheme="minorBidi"/>
          <w:b/>
          <w:szCs w:val="24"/>
          <w:lang w:val="ro-RO"/>
        </w:rPr>
        <w:t>Prioritățile Președinției finlandeze la Consiliul Uniunii Europene, în domeniul educație și formare profesională</w:t>
      </w:r>
    </w:p>
    <w:p w:rsidR="00571E95" w:rsidRDefault="00571E95" w:rsidP="00571E95">
      <w:pPr>
        <w:spacing w:after="160" w:line="256" w:lineRule="auto"/>
        <w:rPr>
          <w:rFonts w:ascii="AvantGardEFNormal" w:eastAsiaTheme="minorHAnsi" w:hAnsi="AvantGardEFNormal" w:cstheme="minorBidi"/>
          <w:szCs w:val="24"/>
          <w:lang w:val="ro-RO"/>
        </w:rPr>
      </w:pPr>
    </w:p>
    <w:p w:rsidR="00571E95" w:rsidRDefault="00571E95" w:rsidP="00571E95">
      <w:pPr>
        <w:spacing w:after="160" w:line="256" w:lineRule="auto"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Finlanda va deține Președinția rotativă a Consiliului Uniunii Europene în perioada 1 iulie – 31 decembrie 2019. Aceasta va continua programul trio-ului România-Finlanda-Croația, care include încurajarea mobilității, incluziunii și excelenței, formarea competențelor și promovarea valorilor europene.</w:t>
      </w:r>
    </w:p>
    <w:p w:rsidR="00571E95" w:rsidRDefault="00571E95" w:rsidP="00571E95">
      <w:pPr>
        <w:spacing w:after="160" w:line="256" w:lineRule="auto"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În domeniul educației și formării, Finlanda își propune următoarele:</w:t>
      </w:r>
    </w:p>
    <w:p w:rsidR="00571E95" w:rsidRDefault="00571E95" w:rsidP="00571E95">
      <w:pPr>
        <w:numPr>
          <w:ilvl w:val="0"/>
          <w:numId w:val="1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continuarea negocierilor privind programul Erasmus+</w:t>
      </w:r>
    </w:p>
    <w:p w:rsidR="00571E95" w:rsidRDefault="00571E95" w:rsidP="00571E95">
      <w:pPr>
        <w:numPr>
          <w:ilvl w:val="0"/>
          <w:numId w:val="1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promovarea învățării continue, a educației orientate spre viitor și a investițiilor în capitalul uman</w:t>
      </w:r>
    </w:p>
    <w:p w:rsidR="00571E95" w:rsidRDefault="00571E95" w:rsidP="00571E95">
      <w:pPr>
        <w:numPr>
          <w:ilvl w:val="0"/>
          <w:numId w:val="1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întărirea echității, egalității și eficacității</w:t>
      </w:r>
    </w:p>
    <w:p w:rsidR="00571E95" w:rsidRDefault="00571E95" w:rsidP="00571E95">
      <w:pPr>
        <w:numPr>
          <w:ilvl w:val="0"/>
          <w:numId w:val="1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consolidarea cooperării dintre educație și cercetare</w:t>
      </w:r>
    </w:p>
    <w:p w:rsidR="00571E95" w:rsidRDefault="00571E95" w:rsidP="00571E95">
      <w:pPr>
        <w:spacing w:after="160" w:line="256" w:lineRule="auto"/>
        <w:rPr>
          <w:rFonts w:ascii="AvantGardEFNormal" w:eastAsiaTheme="minorHAnsi" w:hAnsi="AvantGardEFNormal" w:cstheme="minorBidi"/>
          <w:szCs w:val="24"/>
          <w:lang w:val="ro-RO"/>
        </w:rPr>
      </w:pPr>
    </w:p>
    <w:p w:rsidR="00571E95" w:rsidRDefault="00571E95" w:rsidP="00571E95">
      <w:pPr>
        <w:spacing w:after="160" w:line="256" w:lineRule="auto"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Președinția finlandeză va organiza următoarele evenimente pe durata mandatului său: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Conferință comună a directorilor generali pentru învățământ superior și pentru cercetare (1-2 octombrie 2019)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Reuniunea la nivel înalt în domeniul afacerilor europene (10-11 octombrie 2019)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 xml:space="preserve">Reuniunea directorilor generali pentru învățământ profesional și tehnic (14-15 octombrie 2019), organizată împreună cu </w:t>
      </w:r>
      <w:r>
        <w:rPr>
          <w:rFonts w:ascii="AvantGardEFNormal" w:eastAsiaTheme="minorHAnsi" w:hAnsi="AvantGardEFNormal" w:cstheme="minorBidi"/>
          <w:i/>
          <w:szCs w:val="24"/>
          <w:lang w:val="ro-RO"/>
        </w:rPr>
        <w:t>Săptămâna europeană a competențelor în domeniul învățământului profesional și tehnic</w:t>
      </w:r>
      <w:r>
        <w:rPr>
          <w:rFonts w:ascii="AvantGardEFNormal" w:eastAsiaTheme="minorHAnsi" w:hAnsi="AvantGardEFNormal" w:cstheme="minorBidi"/>
          <w:szCs w:val="24"/>
          <w:lang w:val="ro-RO"/>
        </w:rPr>
        <w:t xml:space="preserve"> (14-18 octombrie 2019)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Reuniunea grupului de lucru pentru monitorizarea Procesului Bologna (12-13 noiembrie 2019)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>Conferința cu privire la testarea PISA (9 decembrie 2019)</w:t>
      </w:r>
    </w:p>
    <w:p w:rsidR="00571E95" w:rsidRDefault="00571E95" w:rsidP="00571E95">
      <w:pPr>
        <w:numPr>
          <w:ilvl w:val="0"/>
          <w:numId w:val="2"/>
        </w:numPr>
        <w:spacing w:after="160" w:line="256" w:lineRule="auto"/>
        <w:contextualSpacing/>
        <w:rPr>
          <w:rFonts w:ascii="AvantGardEFNormal" w:eastAsiaTheme="minorHAnsi" w:hAnsi="AvantGardEFNormal" w:cstheme="minorBidi"/>
          <w:szCs w:val="24"/>
          <w:lang w:val="ro-RO"/>
        </w:rPr>
      </w:pPr>
      <w:r>
        <w:rPr>
          <w:rFonts w:ascii="AvantGardEFNormal" w:eastAsiaTheme="minorHAnsi" w:hAnsi="AvantGardEFNormal" w:cstheme="minorBidi"/>
          <w:szCs w:val="24"/>
          <w:lang w:val="ro-RO"/>
        </w:rPr>
        <w:t xml:space="preserve">Reuniunea directorilor generali pentru școli (10-11 decembrie 2019) </w:t>
      </w:r>
    </w:p>
    <w:p w:rsidR="00571E95" w:rsidRDefault="00571E95" w:rsidP="00571E95">
      <w:pPr>
        <w:spacing w:after="160" w:line="256" w:lineRule="auto"/>
        <w:rPr>
          <w:lang w:val="es-ES"/>
        </w:rPr>
      </w:pPr>
    </w:p>
    <w:p w:rsidR="00571E95" w:rsidRDefault="00571E95" w:rsidP="00571E95">
      <w:pPr>
        <w:spacing w:after="160" w:line="256" w:lineRule="auto"/>
        <w:rPr>
          <w:rFonts w:ascii="AvantGardEFNormal" w:hAnsi="AvantGardEFNormal"/>
          <w:lang w:val="es-ES"/>
        </w:rPr>
      </w:pPr>
    </w:p>
    <w:p w:rsidR="00571E95" w:rsidRDefault="00571E95" w:rsidP="00571E95">
      <w:pPr>
        <w:spacing w:after="160" w:line="256" w:lineRule="auto"/>
        <w:rPr>
          <w:rFonts w:ascii="AvantGardEFNormal" w:hAnsi="AvantGardEFNormal"/>
          <w:lang w:val="es-ES"/>
        </w:rPr>
      </w:pPr>
    </w:p>
    <w:p w:rsidR="00E031FA" w:rsidRDefault="00E031FA">
      <w:bookmarkStart w:id="0" w:name="_GoBack"/>
      <w:bookmarkEnd w:id="0"/>
    </w:p>
    <w:sectPr w:rsidR="00E03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GardEFNormal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AA4"/>
    <w:multiLevelType w:val="hybridMultilevel"/>
    <w:tmpl w:val="04DA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1BF4"/>
    <w:multiLevelType w:val="hybridMultilevel"/>
    <w:tmpl w:val="42B4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5"/>
    <w:rsid w:val="00571E95"/>
    <w:rsid w:val="00E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B3E3-C37A-47D6-BD49-476698BF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95"/>
    <w:pPr>
      <w:spacing w:after="20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2019-06-19T09:24:00Z</dcterms:created>
  <dcterms:modified xsi:type="dcterms:W3CDTF">2019-06-19T09:25:00Z</dcterms:modified>
</cp:coreProperties>
</file>